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5" w:type="dxa"/>
        <w:tblBorders>
          <w:top w:val="single" w:color="4472C4" w:themeColor="accent5" w:sz="12" w:space="0"/>
          <w:left w:val="single" w:color="4472C4" w:themeColor="accent5" w:sz="12" w:space="0"/>
          <w:bottom w:val="single" w:color="4472C4" w:themeColor="accent5" w:sz="12" w:space="0"/>
          <w:right w:val="single" w:color="4472C4" w:themeColor="accent5" w:sz="12" w:space="0"/>
          <w:insideH w:val="none" w:color="auto" w:sz="0" w:space="0"/>
          <w:insideV w:val="none" w:color="auto" w:sz="0" w:space="0"/>
        </w:tblBorders>
        <w:tblLook w:val="04A0" w:firstRow="1" w:lastRow="0" w:firstColumn="1" w:lastColumn="0" w:noHBand="0" w:noVBand="1"/>
      </w:tblPr>
      <w:tblGrid>
        <w:gridCol w:w="1449"/>
        <w:gridCol w:w="9138"/>
      </w:tblGrid>
      <w:tr w:rsidRPr="000606AB" w:rsidR="000606AB" w:rsidTr="00E82486" w14:paraId="395232D1" w14:textId="77777777">
        <w:tc>
          <w:tcPr>
            <w:tcW w:w="1350" w:type="dxa"/>
          </w:tcPr>
          <w:p w:rsidRPr="00DE4908" w:rsidR="005C7983" w:rsidP="00C42CB6" w:rsidRDefault="009A66FD" w14:paraId="5EC2E197" w14:textId="3D1E4550">
            <w:pPr>
              <w:pStyle w:val="Title"/>
              <w:contextualSpacing w:val="0"/>
              <w:rPr>
                <w:rFonts w:ascii="Arial" w:hAnsi="Arial" w:cs="Arial"/>
                <w:color w:val="0070C0"/>
                <w:sz w:val="28"/>
                <w:szCs w:val="28"/>
              </w:rPr>
            </w:pPr>
            <w:r w:rsidRPr="00DE4908">
              <w:rPr>
                <w:rFonts w:ascii="Arial" w:hAnsi="Arial" w:cs="Arial"/>
                <w:b/>
                <w:color w:val="000000" w:themeColor="text1"/>
                <w:sz w:val="28"/>
                <w:szCs w:val="28"/>
              </w:rPr>
              <w:t xml:space="preserve">Executive </w:t>
            </w:r>
            <w:r w:rsidRPr="00DE4908" w:rsidR="005C7983">
              <w:rPr>
                <w:rFonts w:ascii="Arial" w:hAnsi="Arial" w:cs="Arial"/>
                <w:b/>
                <w:color w:val="000000" w:themeColor="text1"/>
                <w:sz w:val="28"/>
                <w:szCs w:val="28"/>
              </w:rPr>
              <w:t>Decision</w:t>
            </w:r>
            <w:r w:rsidRPr="00DE4908" w:rsidR="00537200">
              <w:rPr>
                <w:rFonts w:ascii="Arial" w:hAnsi="Arial" w:cs="Arial"/>
                <w:b/>
                <w:color w:val="000000" w:themeColor="text1"/>
                <w:sz w:val="28"/>
                <w:szCs w:val="28"/>
              </w:rPr>
              <w:t>s</w:t>
            </w:r>
          </w:p>
        </w:tc>
        <w:tc>
          <w:tcPr>
            <w:tcW w:w="9237" w:type="dxa"/>
          </w:tcPr>
          <w:p w:rsidR="00A21396" w:rsidP="00A21396" w:rsidRDefault="00A21396" w14:paraId="6640C4E5" w14:textId="77777777">
            <w:pPr>
              <w:pStyle w:val="Title"/>
              <w:spacing w:before="0"/>
              <w:ind w:left="360"/>
              <w:contextualSpacing w:val="0"/>
              <w:rPr>
                <w:rFonts w:ascii="Arial" w:hAnsi="Arial" w:cs="Arial"/>
                <w:b/>
                <w:color w:val="000000" w:themeColor="text1"/>
                <w:sz w:val="22"/>
                <w:szCs w:val="22"/>
              </w:rPr>
            </w:pPr>
          </w:p>
          <w:p w:rsidR="00537200" w:rsidP="00A21396" w:rsidRDefault="00537200" w14:paraId="623F1D50" w14:textId="6D498488">
            <w:pPr>
              <w:pStyle w:val="Title"/>
              <w:numPr>
                <w:ilvl w:val="0"/>
                <w:numId w:val="12"/>
              </w:numPr>
              <w:spacing w:before="0"/>
              <w:contextualSpacing w:val="0"/>
              <w:rPr>
                <w:rFonts w:ascii="Arial" w:hAnsi="Arial" w:cs="Arial"/>
                <w:b/>
                <w:color w:val="000000" w:themeColor="text1"/>
                <w:sz w:val="22"/>
                <w:szCs w:val="22"/>
              </w:rPr>
            </w:pPr>
            <w:r>
              <w:rPr>
                <w:rFonts w:ascii="Arial" w:hAnsi="Arial" w:cs="Arial"/>
                <w:b/>
                <w:color w:val="000000" w:themeColor="text1"/>
                <w:sz w:val="22"/>
                <w:szCs w:val="22"/>
              </w:rPr>
              <w:t xml:space="preserve">Whether to </w:t>
            </w:r>
            <w:r w:rsidR="005666A0">
              <w:rPr>
                <w:rFonts w:ascii="Arial" w:hAnsi="Arial" w:cs="Arial"/>
                <w:b/>
                <w:color w:val="000000" w:themeColor="text1"/>
                <w:sz w:val="22"/>
                <w:szCs w:val="22"/>
              </w:rPr>
              <w:t>proceed with procuring a fiscal officer for the KCRHA</w:t>
            </w:r>
            <w:r>
              <w:rPr>
                <w:rFonts w:ascii="Arial" w:hAnsi="Arial" w:cs="Arial"/>
                <w:b/>
                <w:color w:val="000000" w:themeColor="text1"/>
                <w:sz w:val="22"/>
                <w:szCs w:val="22"/>
              </w:rPr>
              <w:t>:</w:t>
            </w:r>
          </w:p>
          <w:p w:rsidR="005666A0" w:rsidP="005666A0" w:rsidRDefault="005666A0" w14:paraId="386E3444" w14:textId="4DC55C50">
            <w:pPr>
              <w:pStyle w:val="ListParagraph"/>
              <w:numPr>
                <w:ilvl w:val="0"/>
                <w:numId w:val="19"/>
              </w:numPr>
              <w:spacing w:after="0"/>
            </w:pPr>
            <w:r>
              <w:t xml:space="preserve">A designated point-of-contact (POC) is needed to manage and move the fiscal work </w:t>
            </w:r>
            <w:r w:rsidR="00011738">
              <w:t>(identified below)</w:t>
            </w:r>
            <w:r w:rsidR="00DB541E">
              <w:t xml:space="preserve"> forward</w:t>
            </w:r>
            <w:r>
              <w:t>. The workgroup recommends procuring third party services with Seattle start-up funds before the CEO is in place thru March 2021</w:t>
            </w:r>
            <w:r w:rsidR="00126738">
              <w:t xml:space="preserve"> (</w:t>
            </w:r>
            <w:r w:rsidR="00011738">
              <w:t>CEO is expected to be in place in September</w:t>
            </w:r>
            <w:r w:rsidR="00126738">
              <w:t>)</w:t>
            </w:r>
            <w:r w:rsidR="00011738">
              <w:t xml:space="preserve">. </w:t>
            </w:r>
            <w:r>
              <w:t>Once the CEO is in place, and a CFO is appointed</w:t>
            </w:r>
            <w:r w:rsidR="00011738">
              <w:t xml:space="preserve"> (approximately late November/early December)</w:t>
            </w:r>
            <w:r>
              <w:t>, the work can</w:t>
            </w:r>
            <w:r w:rsidR="00011738">
              <w:t xml:space="preserve"> begin</w:t>
            </w:r>
            <w:r>
              <w:t xml:space="preserve"> </w:t>
            </w:r>
            <w:r w:rsidR="00011738">
              <w:t xml:space="preserve">transitioning to the KCRHA. </w:t>
            </w:r>
          </w:p>
          <w:p w:rsidRPr="005666A0" w:rsidR="00011738" w:rsidP="00011738" w:rsidRDefault="00011738" w14:paraId="1993623F" w14:textId="7868707A">
            <w:pPr>
              <w:pStyle w:val="ListParagraph"/>
              <w:numPr>
                <w:ilvl w:val="1"/>
                <w:numId w:val="19"/>
              </w:numPr>
              <w:spacing w:after="0"/>
            </w:pPr>
            <w:r>
              <w:t>The workgroup has begun identifying third party resources for this work and is soliciting preliminary cost estimates. The workgroup recommends using a vendor that is already under contract with King County to avoid the need for RFP</w:t>
            </w:r>
            <w:r w:rsidR="00126738">
              <w:t xml:space="preserve"> which would add significant time to procurement</w:t>
            </w:r>
            <w:r>
              <w:t xml:space="preserve">.  </w:t>
            </w:r>
          </w:p>
          <w:p w:rsidR="00A21396" w:rsidP="00A21396" w:rsidRDefault="00A21396" w14:paraId="1855DE61" w14:textId="77777777">
            <w:pPr>
              <w:pStyle w:val="Title"/>
              <w:spacing w:before="0"/>
              <w:ind w:left="360"/>
              <w:contextualSpacing w:val="0"/>
              <w:rPr>
                <w:rFonts w:ascii="Arial" w:hAnsi="Arial" w:cs="Arial"/>
                <w:b/>
                <w:color w:val="000000" w:themeColor="text1"/>
                <w:sz w:val="22"/>
                <w:szCs w:val="22"/>
              </w:rPr>
            </w:pPr>
          </w:p>
          <w:p w:rsidR="003A701D" w:rsidP="005666A0" w:rsidRDefault="00A21396" w14:paraId="12F5CFAF" w14:textId="7DA11AF8">
            <w:pPr>
              <w:pStyle w:val="Title"/>
              <w:numPr>
                <w:ilvl w:val="0"/>
                <w:numId w:val="12"/>
              </w:numPr>
              <w:spacing w:before="0"/>
              <w:contextualSpacing w:val="0"/>
              <w:rPr>
                <w:rFonts w:ascii="Arial" w:hAnsi="Arial" w:cs="Arial"/>
                <w:b/>
                <w:color w:val="000000" w:themeColor="text1"/>
                <w:sz w:val="22"/>
                <w:szCs w:val="22"/>
              </w:rPr>
            </w:pPr>
            <w:r>
              <w:rPr>
                <w:rFonts w:ascii="Arial" w:hAnsi="Arial" w:cs="Arial"/>
                <w:b/>
                <w:color w:val="000000" w:themeColor="text1"/>
                <w:sz w:val="22"/>
                <w:szCs w:val="22"/>
              </w:rPr>
              <w:t xml:space="preserve">Whether to </w:t>
            </w:r>
            <w:r w:rsidR="005666A0">
              <w:rPr>
                <w:rFonts w:ascii="Arial" w:hAnsi="Arial" w:cs="Arial"/>
                <w:b/>
                <w:color w:val="000000" w:themeColor="text1"/>
                <w:sz w:val="22"/>
                <w:szCs w:val="22"/>
              </w:rPr>
              <w:t>proceed with procuring payroll services for the KCRHA:</w:t>
            </w:r>
          </w:p>
          <w:p w:rsidR="00011738" w:rsidP="00011738" w:rsidRDefault="00C61392" w14:paraId="52FACBFA" w14:textId="00EF6F42">
            <w:pPr>
              <w:pStyle w:val="ListParagraph"/>
              <w:numPr>
                <w:ilvl w:val="0"/>
                <w:numId w:val="19"/>
              </w:numPr>
              <w:spacing w:after="0"/>
            </w:pPr>
            <w:r>
              <w:t>Payroll</w:t>
            </w:r>
            <w:r w:rsidR="00011738">
              <w:t xml:space="preserve"> services will need to be in place before the CEO is in place. The workgroup recommends procuring these services with a third party. The goal with th</w:t>
            </w:r>
            <w:r w:rsidR="00126738">
              <w:t>is</w:t>
            </w:r>
            <w:r w:rsidR="00011738">
              <w:t xml:space="preserve"> procurement would be to enter into </w:t>
            </w:r>
            <w:r w:rsidR="00126738">
              <w:t xml:space="preserve">a </w:t>
            </w:r>
            <w:r w:rsidR="00DC2CD9">
              <w:t>short-term</w:t>
            </w:r>
            <w:r w:rsidR="00011738">
              <w:t xml:space="preserve"> contract, to provide immediate </w:t>
            </w:r>
            <w:r w:rsidR="00126738">
              <w:t xml:space="preserve">payroll </w:t>
            </w:r>
            <w:r w:rsidR="00011738">
              <w:t>services that could be retained or supplanted after the C</w:t>
            </w:r>
            <w:r w:rsidR="00126738">
              <w:t>FO</w:t>
            </w:r>
            <w:r w:rsidR="00011738">
              <w:t xml:space="preserve"> is in place.  </w:t>
            </w:r>
          </w:p>
          <w:p w:rsidRPr="00011738" w:rsidR="00011738" w:rsidP="00011738" w:rsidRDefault="00011738" w14:paraId="7D0EBC13" w14:textId="7648FFC6">
            <w:pPr>
              <w:pStyle w:val="ListParagraph"/>
              <w:numPr>
                <w:ilvl w:val="1"/>
                <w:numId w:val="19"/>
              </w:numPr>
              <w:spacing w:after="0"/>
            </w:pPr>
            <w:r>
              <w:t xml:space="preserve">The workgroup has identified two options for payroll procurement. Both options are similar in price. </w:t>
            </w:r>
            <w:r w:rsidR="00192E73">
              <w:t xml:space="preserve">The workgroup has identified a vendor already under contract with King County that could be utilized in order to avoid the need for RFP. </w:t>
            </w:r>
          </w:p>
        </w:tc>
      </w:tr>
      <w:tr w:rsidRPr="000606AB" w:rsidR="00537200" w:rsidTr="00E82486" w14:paraId="47A12F66" w14:textId="77777777">
        <w:tc>
          <w:tcPr>
            <w:tcW w:w="1350" w:type="dxa"/>
          </w:tcPr>
          <w:p w:rsidRPr="00223C54" w:rsidR="00537200" w:rsidP="00C42CB6" w:rsidRDefault="00537200" w14:paraId="647D9C6B" w14:textId="77777777">
            <w:pPr>
              <w:pStyle w:val="Title"/>
              <w:contextualSpacing w:val="0"/>
              <w:rPr>
                <w:rFonts w:ascii="Arial" w:hAnsi="Arial" w:cs="Arial"/>
                <w:b/>
                <w:color w:val="000000" w:themeColor="text1"/>
                <w:sz w:val="24"/>
                <w:szCs w:val="24"/>
              </w:rPr>
            </w:pPr>
          </w:p>
        </w:tc>
        <w:tc>
          <w:tcPr>
            <w:tcW w:w="9237" w:type="dxa"/>
          </w:tcPr>
          <w:p w:rsidR="00537200" w:rsidP="00A21396" w:rsidRDefault="00537200" w14:paraId="41E6A052" w14:textId="77777777">
            <w:pPr>
              <w:pStyle w:val="Title"/>
              <w:spacing w:before="0"/>
              <w:contextualSpacing w:val="0"/>
              <w:rPr>
                <w:rFonts w:ascii="Arial" w:hAnsi="Arial" w:cs="Arial"/>
                <w:b/>
                <w:color w:val="000000" w:themeColor="text1"/>
                <w:sz w:val="22"/>
                <w:szCs w:val="22"/>
              </w:rPr>
            </w:pPr>
          </w:p>
        </w:tc>
      </w:tr>
    </w:tbl>
    <w:p w:rsidRPr="002A6D46" w:rsidR="00014049" w:rsidP="00CA0FCA" w:rsidRDefault="00014049" w14:paraId="4777114B" w14:textId="69A35683">
      <w:pPr>
        <w:spacing w:after="0" w:line="240" w:lineRule="auto"/>
        <w:rPr>
          <w:rFonts w:cstheme="minorHAnsi"/>
          <w:b/>
          <w:sz w:val="18"/>
          <w:szCs w:val="18"/>
          <w:u w:val="single"/>
        </w:rPr>
      </w:pPr>
    </w:p>
    <w:p w:rsidR="002A6D46" w:rsidP="00EE6B80" w:rsidRDefault="002A6D46" w14:paraId="3EBFCADE" w14:textId="77777777">
      <w:pPr>
        <w:spacing w:after="0" w:line="240" w:lineRule="auto"/>
        <w:contextualSpacing/>
        <w:rPr>
          <w:rStyle w:val="IntenseReference"/>
          <w:bCs w:val="0"/>
          <w:sz w:val="28"/>
          <w:szCs w:val="28"/>
          <w:u w:val="single"/>
        </w:rPr>
      </w:pPr>
    </w:p>
    <w:p w:rsidRPr="002A6D46" w:rsidR="00EE6B80" w:rsidP="00EE6B80" w:rsidRDefault="00EE6B80" w14:paraId="787E803F" w14:textId="2DF22D47">
      <w:pPr>
        <w:spacing w:after="0" w:line="240" w:lineRule="auto"/>
        <w:contextualSpacing/>
        <w:rPr>
          <w:rStyle w:val="IntenseReference"/>
          <w:bCs w:val="0"/>
          <w:sz w:val="28"/>
          <w:szCs w:val="28"/>
          <w:u w:val="single"/>
        </w:rPr>
      </w:pPr>
      <w:r w:rsidRPr="002A6D46">
        <w:rPr>
          <w:rStyle w:val="IntenseReference"/>
          <w:bCs w:val="0"/>
          <w:sz w:val="28"/>
          <w:szCs w:val="28"/>
          <w:u w:val="single"/>
        </w:rPr>
        <w:t>Background</w:t>
      </w:r>
      <w:r w:rsidRPr="002A6D46" w:rsidR="00850090">
        <w:rPr>
          <w:rStyle w:val="IntenseReference"/>
          <w:bCs w:val="0"/>
          <w:sz w:val="28"/>
          <w:szCs w:val="28"/>
          <w:u w:val="single"/>
        </w:rPr>
        <w:t xml:space="preserve"> &amp; Context</w:t>
      </w:r>
    </w:p>
    <w:p w:rsidR="00835018" w:rsidP="00835018" w:rsidRDefault="00835018" w14:paraId="59FA784A" w14:textId="3577FF9B">
      <w:pPr>
        <w:pStyle w:val="ListParagraph"/>
        <w:spacing w:before="0" w:after="0" w:line="240" w:lineRule="auto"/>
        <w:ind w:left="540"/>
        <w:rPr>
          <w:b/>
        </w:rPr>
      </w:pPr>
    </w:p>
    <w:p w:rsidR="000F3414" w:rsidP="008C7110" w:rsidRDefault="00D62876" w14:paraId="6E1CC6CB" w14:textId="20E45C77">
      <w:pPr>
        <w:pStyle w:val="ListParagraph"/>
        <w:spacing w:after="0" w:line="240" w:lineRule="auto"/>
        <w:ind w:left="540"/>
        <w:rPr>
          <w:bCs/>
        </w:rPr>
      </w:pPr>
      <w:r>
        <w:rPr>
          <w:bCs/>
        </w:rPr>
        <w:t>City and County</w:t>
      </w:r>
      <w:r w:rsidR="005421CF">
        <w:rPr>
          <w:bCs/>
        </w:rPr>
        <w:t xml:space="preserve"> finance staff</w:t>
      </w:r>
      <w:r>
        <w:rPr>
          <w:bCs/>
        </w:rPr>
        <w:t xml:space="preserve"> ha</w:t>
      </w:r>
      <w:r w:rsidR="001B79E0">
        <w:rPr>
          <w:bCs/>
        </w:rPr>
        <w:t>d</w:t>
      </w:r>
      <w:r>
        <w:rPr>
          <w:bCs/>
        </w:rPr>
        <w:t xml:space="preserve"> been meeting bi-weekly</w:t>
      </w:r>
      <w:r w:rsidR="001B79E0">
        <w:rPr>
          <w:bCs/>
        </w:rPr>
        <w:t xml:space="preserve"> </w:t>
      </w:r>
      <w:r w:rsidR="00126738">
        <w:rPr>
          <w:bCs/>
        </w:rPr>
        <w:t>since</w:t>
      </w:r>
      <w:r w:rsidR="001B79E0">
        <w:rPr>
          <w:bCs/>
        </w:rPr>
        <w:t xml:space="preserve"> March</w:t>
      </w:r>
      <w:r>
        <w:rPr>
          <w:bCs/>
        </w:rPr>
        <w:t xml:space="preserve"> to </w:t>
      </w:r>
      <w:r w:rsidR="0074475C">
        <w:rPr>
          <w:bCs/>
        </w:rPr>
        <w:t xml:space="preserve">prepare the KCRHA </w:t>
      </w:r>
      <w:r w:rsidR="005421CF">
        <w:rPr>
          <w:bCs/>
        </w:rPr>
        <w:t xml:space="preserve">fiscal operations </w:t>
      </w:r>
      <w:r w:rsidR="0074475C">
        <w:rPr>
          <w:bCs/>
        </w:rPr>
        <w:t>for a January 202</w:t>
      </w:r>
      <w:r w:rsidR="007A24DF">
        <w:rPr>
          <w:bCs/>
        </w:rPr>
        <w:t>1</w:t>
      </w:r>
      <w:r w:rsidR="0074475C">
        <w:rPr>
          <w:bCs/>
        </w:rPr>
        <w:t xml:space="preserve"> start.</w:t>
      </w:r>
      <w:r w:rsidR="005421CF">
        <w:rPr>
          <w:bCs/>
        </w:rPr>
        <w:t xml:space="preserve"> </w:t>
      </w:r>
      <w:r w:rsidR="001D16F9">
        <w:rPr>
          <w:bCs/>
        </w:rPr>
        <w:t xml:space="preserve">The workgroup has proceeded to set up the KCRHA in the same manner as </w:t>
      </w:r>
      <w:r w:rsidR="000F3414">
        <w:rPr>
          <w:bCs/>
        </w:rPr>
        <w:t xml:space="preserve">a </w:t>
      </w:r>
      <w:r w:rsidR="001D16F9">
        <w:rPr>
          <w:bCs/>
        </w:rPr>
        <w:t>special district</w:t>
      </w:r>
      <w:r w:rsidR="000F3414">
        <w:rPr>
          <w:bCs/>
        </w:rPr>
        <w:t>.</w:t>
      </w:r>
    </w:p>
    <w:p w:rsidR="001171B9" w:rsidP="001171B9" w:rsidRDefault="000F3414" w14:paraId="2473E5AB" w14:textId="33A4F24A">
      <w:pPr>
        <w:pStyle w:val="ListParagraph"/>
        <w:spacing w:after="0" w:line="240" w:lineRule="auto"/>
        <w:ind w:left="540"/>
        <w:rPr>
          <w:bCs/>
        </w:rPr>
      </w:pPr>
      <w:r>
        <w:rPr>
          <w:bCs/>
        </w:rPr>
        <w:t xml:space="preserve">The </w:t>
      </w:r>
      <w:r w:rsidR="0027783B">
        <w:rPr>
          <w:bCs/>
        </w:rPr>
        <w:t>workgroup has created a</w:t>
      </w:r>
      <w:r w:rsidR="001171B9">
        <w:rPr>
          <w:bCs/>
        </w:rPr>
        <w:t xml:space="preserve"> fund for the KC</w:t>
      </w:r>
      <w:r w:rsidRPr="008C7110" w:rsidR="001171B9">
        <w:rPr>
          <w:bCs/>
        </w:rPr>
        <w:t>RHA with County treasur</w:t>
      </w:r>
      <w:r w:rsidR="001171B9">
        <w:rPr>
          <w:bCs/>
        </w:rPr>
        <w:t>y</w:t>
      </w:r>
      <w:r w:rsidRPr="008C7110" w:rsidR="001171B9">
        <w:rPr>
          <w:bCs/>
        </w:rPr>
        <w:t xml:space="preserve">, as required in the </w:t>
      </w:r>
      <w:r w:rsidR="001171B9">
        <w:rPr>
          <w:bCs/>
        </w:rPr>
        <w:t xml:space="preserve">KCRHA </w:t>
      </w:r>
      <w:r w:rsidRPr="008C7110" w:rsidR="001171B9">
        <w:rPr>
          <w:bCs/>
        </w:rPr>
        <w:t xml:space="preserve">ILA </w:t>
      </w:r>
      <w:r w:rsidR="00DA1EA1">
        <w:rPr>
          <w:bCs/>
        </w:rPr>
        <w:t>“</w:t>
      </w:r>
      <w:r w:rsidRPr="008C7110" w:rsidR="001171B9">
        <w:rPr>
          <w:bCs/>
        </w:rPr>
        <w:t>Safeguarding of funds</w:t>
      </w:r>
      <w:r w:rsidR="00DA1EA1">
        <w:rPr>
          <w:bCs/>
        </w:rPr>
        <w:t>”</w:t>
      </w:r>
      <w:r w:rsidRPr="008C7110" w:rsidR="001171B9">
        <w:rPr>
          <w:bCs/>
        </w:rPr>
        <w:t xml:space="preserve"> clause</w:t>
      </w:r>
      <w:r w:rsidR="00DA1EA1">
        <w:rPr>
          <w:bCs/>
        </w:rPr>
        <w:t>. The fund</w:t>
      </w:r>
      <w:r w:rsidR="00E2088B">
        <w:rPr>
          <w:bCs/>
        </w:rPr>
        <w:t xml:space="preserve"> </w:t>
      </w:r>
      <w:r w:rsidR="0012122E">
        <w:rPr>
          <w:bCs/>
        </w:rPr>
        <w:t xml:space="preserve">is operational but </w:t>
      </w:r>
      <w:r w:rsidR="00E2088B">
        <w:rPr>
          <w:bCs/>
        </w:rPr>
        <w:t>holds no revenue</w:t>
      </w:r>
      <w:r w:rsidR="001B79E0">
        <w:rPr>
          <w:bCs/>
        </w:rPr>
        <w:t>s or expenditures</w:t>
      </w:r>
      <w:r w:rsidR="00E2088B">
        <w:rPr>
          <w:bCs/>
        </w:rPr>
        <w:t xml:space="preserve"> at this point. </w:t>
      </w:r>
    </w:p>
    <w:p w:rsidR="00E2088B" w:rsidP="00E2088B" w:rsidRDefault="00E2088B" w14:paraId="4982FC0E" w14:textId="7A671FA2">
      <w:pPr>
        <w:pStyle w:val="ListParagraph"/>
        <w:spacing w:after="0" w:line="240" w:lineRule="auto"/>
        <w:ind w:left="540"/>
        <w:rPr>
          <w:bCs/>
        </w:rPr>
      </w:pPr>
      <w:r>
        <w:rPr>
          <w:bCs/>
        </w:rPr>
        <w:t xml:space="preserve">The workgroup has </w:t>
      </w:r>
      <w:r w:rsidRPr="008C7110">
        <w:rPr>
          <w:bCs/>
        </w:rPr>
        <w:t xml:space="preserve">filed for </w:t>
      </w:r>
      <w:r w:rsidR="001B79E0">
        <w:rPr>
          <w:bCs/>
        </w:rPr>
        <w:t xml:space="preserve">a </w:t>
      </w:r>
      <w:r w:rsidRPr="008C7110">
        <w:rPr>
          <w:bCs/>
        </w:rPr>
        <w:t>F</w:t>
      </w:r>
      <w:r>
        <w:rPr>
          <w:bCs/>
        </w:rPr>
        <w:t>ederal Employer ID (FEID)</w:t>
      </w:r>
      <w:r w:rsidRPr="008C7110">
        <w:rPr>
          <w:bCs/>
        </w:rPr>
        <w:t>,</w:t>
      </w:r>
      <w:r w:rsidR="00753355">
        <w:rPr>
          <w:bCs/>
        </w:rPr>
        <w:t xml:space="preserve"> currently delayed </w:t>
      </w:r>
      <w:r w:rsidRPr="008C7110">
        <w:rPr>
          <w:bCs/>
        </w:rPr>
        <w:t>due to IRS backlog</w:t>
      </w:r>
      <w:r w:rsidR="00753355">
        <w:rPr>
          <w:bCs/>
        </w:rPr>
        <w:t xml:space="preserve"> from </w:t>
      </w:r>
      <w:r w:rsidR="00CE09CB">
        <w:rPr>
          <w:bCs/>
        </w:rPr>
        <w:t xml:space="preserve">processing COVID stimulus </w:t>
      </w:r>
      <w:r w:rsidR="00CB35CE">
        <w:rPr>
          <w:bCs/>
        </w:rPr>
        <w:t>payments</w:t>
      </w:r>
      <w:r w:rsidR="00CE09CB">
        <w:rPr>
          <w:bCs/>
        </w:rPr>
        <w:t xml:space="preserve">. The workgroup </w:t>
      </w:r>
      <w:r w:rsidR="00CB35CE">
        <w:rPr>
          <w:bCs/>
        </w:rPr>
        <w:t>anticipates</w:t>
      </w:r>
      <w:r w:rsidR="00CE09CB">
        <w:rPr>
          <w:bCs/>
        </w:rPr>
        <w:t xml:space="preserve"> </w:t>
      </w:r>
      <w:r w:rsidR="00CB35CE">
        <w:rPr>
          <w:bCs/>
        </w:rPr>
        <w:t>receiving</w:t>
      </w:r>
      <w:r w:rsidR="00CE09CB">
        <w:rPr>
          <w:bCs/>
        </w:rPr>
        <w:t xml:space="preserve"> </w:t>
      </w:r>
      <w:r w:rsidR="00C8685F">
        <w:rPr>
          <w:bCs/>
        </w:rPr>
        <w:t xml:space="preserve">a FEID </w:t>
      </w:r>
      <w:r w:rsidR="00C964C8">
        <w:rPr>
          <w:bCs/>
        </w:rPr>
        <w:t>in early September</w:t>
      </w:r>
      <w:r w:rsidR="00C8685F">
        <w:rPr>
          <w:bCs/>
        </w:rPr>
        <w:t xml:space="preserve">. </w:t>
      </w:r>
    </w:p>
    <w:p w:rsidRPr="008C7110" w:rsidR="009F1778" w:rsidP="00E2088B" w:rsidRDefault="009F1778" w14:paraId="4CB75438" w14:textId="4E9EA406">
      <w:pPr>
        <w:pStyle w:val="ListParagraph"/>
        <w:spacing w:after="0" w:line="240" w:lineRule="auto"/>
        <w:ind w:left="540"/>
        <w:rPr>
          <w:bCs/>
        </w:rPr>
      </w:pPr>
      <w:r>
        <w:rPr>
          <w:bCs/>
        </w:rPr>
        <w:t xml:space="preserve">The FEID application uses the Yesler Building as its address, current discussions about mothballing the Yesler Building need to consider this. Should the building become mothballed, the address would need to be changed with the IRS at that time. </w:t>
      </w:r>
    </w:p>
    <w:p w:rsidR="00E2088B" w:rsidP="00E2088B" w:rsidRDefault="00E2088B" w14:paraId="410C866B" w14:textId="74AB9889">
      <w:pPr>
        <w:pStyle w:val="ListParagraph"/>
        <w:spacing w:after="0" w:line="240" w:lineRule="auto"/>
        <w:ind w:left="540"/>
        <w:rPr>
          <w:bCs/>
        </w:rPr>
      </w:pPr>
      <w:r w:rsidRPr="008C7110">
        <w:rPr>
          <w:bCs/>
        </w:rPr>
        <w:t xml:space="preserve">Once </w:t>
      </w:r>
      <w:r w:rsidR="00C8685F">
        <w:rPr>
          <w:bCs/>
        </w:rPr>
        <w:t xml:space="preserve">the </w:t>
      </w:r>
      <w:r w:rsidRPr="008C7110">
        <w:rPr>
          <w:bCs/>
        </w:rPr>
        <w:t>FEID is received</w:t>
      </w:r>
      <w:r w:rsidR="00C8685F">
        <w:rPr>
          <w:bCs/>
        </w:rPr>
        <w:t>, the workgroup</w:t>
      </w:r>
      <w:r w:rsidRPr="008C7110">
        <w:rPr>
          <w:bCs/>
        </w:rPr>
        <w:t xml:space="preserve"> will file for </w:t>
      </w:r>
      <w:r w:rsidR="00C8685F">
        <w:rPr>
          <w:bCs/>
        </w:rPr>
        <w:t xml:space="preserve">a State Employer </w:t>
      </w:r>
      <w:r w:rsidRPr="008C7110">
        <w:rPr>
          <w:bCs/>
        </w:rPr>
        <w:t>ID</w:t>
      </w:r>
      <w:r w:rsidR="00CB35CE">
        <w:rPr>
          <w:bCs/>
        </w:rPr>
        <w:t xml:space="preserve"> (SEID). The SEID is required before the KCRHA can be filed as an entity with the State Auditor’s Office. </w:t>
      </w:r>
      <w:r w:rsidRPr="008C7110">
        <w:rPr>
          <w:bCs/>
        </w:rPr>
        <w:t xml:space="preserve"> </w:t>
      </w:r>
    </w:p>
    <w:p w:rsidR="00CB35CE" w:rsidP="00E2088B" w:rsidRDefault="00FB6C06" w14:paraId="7A17EE6D" w14:textId="462E3A3D">
      <w:pPr>
        <w:pStyle w:val="ListParagraph"/>
        <w:spacing w:after="0" w:line="240" w:lineRule="auto"/>
        <w:ind w:left="540"/>
        <w:rPr>
          <w:bCs/>
        </w:rPr>
      </w:pPr>
      <w:r>
        <w:rPr>
          <w:bCs/>
        </w:rPr>
        <w:t>Obtaining</w:t>
      </w:r>
      <w:r w:rsidR="00CB35CE">
        <w:rPr>
          <w:bCs/>
        </w:rPr>
        <w:t xml:space="preserve"> a FEI</w:t>
      </w:r>
      <w:r>
        <w:rPr>
          <w:bCs/>
        </w:rPr>
        <w:t>D</w:t>
      </w:r>
      <w:r w:rsidR="00CB35CE">
        <w:rPr>
          <w:bCs/>
        </w:rPr>
        <w:t xml:space="preserve"> and SEID will allow the </w:t>
      </w:r>
      <w:r w:rsidR="00A32F76">
        <w:rPr>
          <w:bCs/>
        </w:rPr>
        <w:t>workgroup</w:t>
      </w:r>
      <w:r>
        <w:rPr>
          <w:bCs/>
        </w:rPr>
        <w:t xml:space="preserve"> to begin </w:t>
      </w:r>
      <w:r w:rsidR="00A32F76">
        <w:rPr>
          <w:bCs/>
        </w:rPr>
        <w:t xml:space="preserve">putting in the place the </w:t>
      </w:r>
      <w:r w:rsidR="001B79E0">
        <w:rPr>
          <w:bCs/>
        </w:rPr>
        <w:t xml:space="preserve">minimal </w:t>
      </w:r>
      <w:r w:rsidR="00A32F76">
        <w:rPr>
          <w:bCs/>
        </w:rPr>
        <w:t xml:space="preserve">fiscal structure needed before the KCRHA can receive </w:t>
      </w:r>
      <w:r w:rsidR="00FE3923">
        <w:rPr>
          <w:bCs/>
        </w:rPr>
        <w:t xml:space="preserve">revenues from the City and the County. These include: </w:t>
      </w:r>
    </w:p>
    <w:p w:rsidR="0012122E" w:rsidP="0012122E" w:rsidRDefault="0012122E" w14:paraId="189B2AF2" w14:textId="6FE8266D">
      <w:pPr>
        <w:pStyle w:val="ListParagraph"/>
        <w:numPr>
          <w:ilvl w:val="0"/>
          <w:numId w:val="17"/>
        </w:numPr>
        <w:spacing w:before="0" w:after="0" w:line="240" w:lineRule="auto"/>
        <w:rPr>
          <w:bCs/>
        </w:rPr>
      </w:pPr>
      <w:r>
        <w:rPr>
          <w:bCs/>
        </w:rPr>
        <w:t xml:space="preserve">Establishing </w:t>
      </w:r>
      <w:r w:rsidRPr="008C7110">
        <w:rPr>
          <w:bCs/>
        </w:rPr>
        <w:t>bank accounts</w:t>
      </w:r>
    </w:p>
    <w:p w:rsidR="0012122E" w:rsidP="0012122E" w:rsidRDefault="0012122E" w14:paraId="6E9587B6" w14:textId="59B00F86">
      <w:pPr>
        <w:pStyle w:val="ListParagraph"/>
        <w:numPr>
          <w:ilvl w:val="0"/>
          <w:numId w:val="17"/>
        </w:numPr>
        <w:spacing w:before="0" w:after="0" w:line="240" w:lineRule="auto"/>
        <w:rPr>
          <w:bCs/>
        </w:rPr>
      </w:pPr>
      <w:r>
        <w:rPr>
          <w:bCs/>
        </w:rPr>
        <w:t>Establishing accounts payable</w:t>
      </w:r>
    </w:p>
    <w:p w:rsidR="0012122E" w:rsidP="0012122E" w:rsidRDefault="0012122E" w14:paraId="4B08834D" w14:textId="4DF11855">
      <w:pPr>
        <w:pStyle w:val="ListParagraph"/>
        <w:numPr>
          <w:ilvl w:val="0"/>
          <w:numId w:val="17"/>
        </w:numPr>
        <w:spacing w:before="0" w:after="0" w:line="240" w:lineRule="auto"/>
        <w:rPr>
          <w:bCs/>
        </w:rPr>
      </w:pPr>
      <w:r>
        <w:rPr>
          <w:bCs/>
        </w:rPr>
        <w:t xml:space="preserve">Procuring cash management and </w:t>
      </w:r>
      <w:r w:rsidRPr="008C7110">
        <w:rPr>
          <w:bCs/>
        </w:rPr>
        <w:t>investment services</w:t>
      </w:r>
    </w:p>
    <w:p w:rsidR="00C35428" w:rsidP="00781292" w:rsidRDefault="00C35428" w14:paraId="0E9CC182" w14:textId="77777777">
      <w:pPr>
        <w:spacing w:after="0" w:line="240" w:lineRule="auto"/>
        <w:ind w:left="540"/>
        <w:rPr>
          <w:bCs/>
        </w:rPr>
      </w:pPr>
    </w:p>
    <w:p w:rsidR="00781292" w:rsidP="00781292" w:rsidRDefault="00781292" w14:paraId="2DBA2805" w14:textId="0D57D2AD">
      <w:pPr>
        <w:spacing w:after="0" w:line="240" w:lineRule="auto"/>
        <w:ind w:left="540"/>
        <w:rPr>
          <w:bCs/>
        </w:rPr>
      </w:pPr>
      <w:r>
        <w:rPr>
          <w:bCs/>
        </w:rPr>
        <w:lastRenderedPageBreak/>
        <w:t>Once the KCRHA has these items in place, it can receive revenues, e.g. the City’s start-up funding can be transitioned to KCRHA</w:t>
      </w:r>
      <w:r w:rsidR="00C35428">
        <w:rPr>
          <w:bCs/>
        </w:rPr>
        <w:t xml:space="preserve"> (a</w:t>
      </w:r>
      <w:r>
        <w:rPr>
          <w:bCs/>
        </w:rPr>
        <w:t xml:space="preserve">pproximately $2M in </w:t>
      </w:r>
      <w:r w:rsidR="00C35428">
        <w:rPr>
          <w:bCs/>
        </w:rPr>
        <w:t xml:space="preserve">one-time </w:t>
      </w:r>
      <w:r>
        <w:rPr>
          <w:bCs/>
        </w:rPr>
        <w:t>start-up funding was set aside by the City for staffing and operations for the remainder of 2020</w:t>
      </w:r>
      <w:r w:rsidR="00C35428">
        <w:rPr>
          <w:bCs/>
        </w:rPr>
        <w:t>)</w:t>
      </w:r>
      <w:r>
        <w:rPr>
          <w:bCs/>
        </w:rPr>
        <w:t>. The City could also expend the start-up funds through contract.</w:t>
      </w:r>
    </w:p>
    <w:p w:rsidR="00D62876" w:rsidP="008C7110" w:rsidRDefault="006E74DB" w14:paraId="538A2FF0" w14:textId="30AE2E31">
      <w:pPr>
        <w:pStyle w:val="ListParagraph"/>
        <w:spacing w:after="0" w:line="240" w:lineRule="auto"/>
        <w:ind w:left="540"/>
        <w:rPr>
          <w:bCs/>
        </w:rPr>
      </w:pPr>
      <w:r>
        <w:rPr>
          <w:bCs/>
        </w:rPr>
        <w:t xml:space="preserve">However, there are several fiscal </w:t>
      </w:r>
      <w:r w:rsidR="007A24DF">
        <w:rPr>
          <w:bCs/>
        </w:rPr>
        <w:t>components</w:t>
      </w:r>
      <w:r w:rsidR="0012122E">
        <w:rPr>
          <w:bCs/>
        </w:rPr>
        <w:t xml:space="preserve"> that are not </w:t>
      </w:r>
      <w:r w:rsidR="00C35428">
        <w:rPr>
          <w:bCs/>
        </w:rPr>
        <w:t xml:space="preserve">as </w:t>
      </w:r>
      <w:r w:rsidR="0012122E">
        <w:rPr>
          <w:bCs/>
        </w:rPr>
        <w:t xml:space="preserve">straightforward </w:t>
      </w:r>
      <w:r w:rsidR="00C35428">
        <w:rPr>
          <w:bCs/>
        </w:rPr>
        <w:t xml:space="preserve">as those listed above </w:t>
      </w:r>
      <w:r w:rsidR="0012122E">
        <w:rPr>
          <w:bCs/>
        </w:rPr>
        <w:t>and</w:t>
      </w:r>
      <w:r>
        <w:rPr>
          <w:bCs/>
        </w:rPr>
        <w:t xml:space="preserve"> that </w:t>
      </w:r>
      <w:r w:rsidR="0012122E">
        <w:rPr>
          <w:bCs/>
        </w:rPr>
        <w:t>need to</w:t>
      </w:r>
      <w:r>
        <w:rPr>
          <w:bCs/>
        </w:rPr>
        <w:t xml:space="preserve"> be in place before the </w:t>
      </w:r>
      <w:r w:rsidR="007A24DF">
        <w:rPr>
          <w:bCs/>
        </w:rPr>
        <w:t xml:space="preserve">KCRHA </w:t>
      </w:r>
      <w:r>
        <w:rPr>
          <w:bCs/>
        </w:rPr>
        <w:t>CEO</w:t>
      </w:r>
      <w:r w:rsidR="007A24DF">
        <w:rPr>
          <w:bCs/>
        </w:rPr>
        <w:t xml:space="preserve"> is in place</w:t>
      </w:r>
      <w:r w:rsidR="00C35428">
        <w:rPr>
          <w:bCs/>
        </w:rPr>
        <w:t>. Also, t</w:t>
      </w:r>
      <w:r w:rsidR="0012122E">
        <w:rPr>
          <w:bCs/>
        </w:rPr>
        <w:t xml:space="preserve">he workgroup cannot move forward </w:t>
      </w:r>
      <w:r w:rsidR="00C35428">
        <w:rPr>
          <w:bCs/>
        </w:rPr>
        <w:t xml:space="preserve">on these items </w:t>
      </w:r>
      <w:r w:rsidR="0012122E">
        <w:rPr>
          <w:bCs/>
        </w:rPr>
        <w:t>without Executive decision</w:t>
      </w:r>
      <w:r w:rsidR="00C35428">
        <w:rPr>
          <w:bCs/>
        </w:rPr>
        <w:t>. These include:</w:t>
      </w:r>
    </w:p>
    <w:p w:rsidR="0012122E" w:rsidP="0012122E" w:rsidRDefault="0012122E" w14:paraId="0103615D" w14:textId="53225431">
      <w:pPr>
        <w:pStyle w:val="ListParagraph"/>
        <w:numPr>
          <w:ilvl w:val="0"/>
          <w:numId w:val="17"/>
        </w:numPr>
        <w:spacing w:before="0" w:after="0" w:line="240" w:lineRule="auto"/>
        <w:rPr>
          <w:bCs/>
        </w:rPr>
      </w:pPr>
      <w:r w:rsidRPr="0012122E">
        <w:rPr>
          <w:bCs/>
        </w:rPr>
        <w:t>Procuring insurance</w:t>
      </w:r>
    </w:p>
    <w:p w:rsidR="0012122E" w:rsidP="0012122E" w:rsidRDefault="0012122E" w14:paraId="2D3377BA" w14:textId="38171D48">
      <w:pPr>
        <w:pStyle w:val="ListParagraph"/>
        <w:numPr>
          <w:ilvl w:val="0"/>
          <w:numId w:val="17"/>
        </w:numPr>
        <w:spacing w:before="0" w:after="0" w:line="240" w:lineRule="auto"/>
        <w:rPr>
          <w:bCs/>
        </w:rPr>
      </w:pPr>
      <w:r w:rsidRPr="0012122E">
        <w:rPr>
          <w:bCs/>
        </w:rPr>
        <w:t>Procuring payroll services</w:t>
      </w:r>
    </w:p>
    <w:p w:rsidRPr="001B79E0" w:rsidR="0012122E" w:rsidP="001B79E0" w:rsidRDefault="0012122E" w14:paraId="0D0C2496" w14:textId="639C553E">
      <w:pPr>
        <w:pStyle w:val="ListParagraph"/>
        <w:numPr>
          <w:ilvl w:val="0"/>
          <w:numId w:val="17"/>
        </w:numPr>
        <w:spacing w:before="0" w:after="0" w:line="240" w:lineRule="auto"/>
        <w:rPr>
          <w:bCs/>
        </w:rPr>
      </w:pPr>
      <w:r w:rsidRPr="0012122E">
        <w:rPr>
          <w:bCs/>
        </w:rPr>
        <w:t>Establishing records management</w:t>
      </w:r>
    </w:p>
    <w:p w:rsidR="0012122E" w:rsidP="0012122E" w:rsidRDefault="001B79E0" w14:paraId="46290545" w14:textId="6CB97932">
      <w:pPr>
        <w:pStyle w:val="ListParagraph"/>
        <w:spacing w:after="0" w:line="240" w:lineRule="auto"/>
        <w:ind w:left="540"/>
        <w:rPr>
          <w:bCs/>
        </w:rPr>
      </w:pPr>
      <w:r>
        <w:rPr>
          <w:bCs/>
        </w:rPr>
        <w:t xml:space="preserve">Additionally, the KCRHA will need a designated Point-of-Contact (POC) to oversee </w:t>
      </w:r>
      <w:r w:rsidR="00781292">
        <w:rPr>
          <w:bCs/>
        </w:rPr>
        <w:t xml:space="preserve">all of the above </w:t>
      </w:r>
      <w:r>
        <w:rPr>
          <w:bCs/>
        </w:rPr>
        <w:t xml:space="preserve">items as they are </w:t>
      </w:r>
      <w:r w:rsidR="00C35428">
        <w:rPr>
          <w:bCs/>
        </w:rPr>
        <w:t>put in place</w:t>
      </w:r>
      <w:r>
        <w:rPr>
          <w:bCs/>
        </w:rPr>
        <w:t xml:space="preserve">. The POC is essential to move this forward and would ideally have familiarity with all these services, but at minimum would be able to handle the work before the CEO is able to appoint a CFO to the KCRHA.  </w:t>
      </w:r>
    </w:p>
    <w:p w:rsidR="00C61392" w:rsidP="0012122E" w:rsidRDefault="075FAAB6" w14:paraId="226B552C" w14:textId="1DCDFFE7">
      <w:pPr>
        <w:pStyle w:val="ListParagraph"/>
        <w:spacing w:after="0" w:line="240" w:lineRule="auto"/>
        <w:ind w:left="540"/>
      </w:pPr>
      <w:r>
        <w:t xml:space="preserve">Insurance services need special consideration. Based on the workgroups research, at a minimum KCRHA needs the following types of insurance before the CEO is in place: directors &amp; officers liability insurance, commercial general liability insurance, and workers’ compensation coverage. Once the CEO is in place, the KCRHA will </w:t>
      </w:r>
      <w:r w:rsidR="00DC2CD9">
        <w:t>have a</w:t>
      </w:r>
      <w:r>
        <w:t xml:space="preserve"> need for additional types of insurance. The workgroup has identified some options for moving this forward, but no work has been done beyond that. </w:t>
      </w:r>
    </w:p>
    <w:p w:rsidR="00C61392" w:rsidP="0012122E" w:rsidRDefault="00C61392" w14:paraId="1E126B30" w14:textId="3BE4D18E">
      <w:pPr>
        <w:pStyle w:val="ListParagraph"/>
        <w:spacing w:after="0" w:line="240" w:lineRule="auto"/>
        <w:ind w:left="540"/>
        <w:rPr>
          <w:bCs/>
        </w:rPr>
      </w:pPr>
      <w:r>
        <w:rPr>
          <w:bCs/>
        </w:rPr>
        <w:t>In the same manner, records management needs consideration. Ideally this would begin just a</w:t>
      </w:r>
      <w:r w:rsidR="00192E73">
        <w:rPr>
          <w:bCs/>
        </w:rPr>
        <w:t>fter</w:t>
      </w:r>
      <w:r>
        <w:rPr>
          <w:bCs/>
        </w:rPr>
        <w:t xml:space="preserve"> the CEO is in place. </w:t>
      </w:r>
      <w:r w:rsidR="00192E73">
        <w:t xml:space="preserve">King County’s Archives, Records Management, and Mail Services (ARMMS) and City of Seattle’s City Records Management Program (CRMP) will need to work with the CEO to establish a way forward. </w:t>
      </w:r>
    </w:p>
    <w:p w:rsidRPr="008C7110" w:rsidR="00C35428" w:rsidP="0012122E" w:rsidRDefault="00C35428" w14:paraId="04D53012" w14:textId="10446526">
      <w:pPr>
        <w:pStyle w:val="ListParagraph"/>
        <w:spacing w:after="0" w:line="240" w:lineRule="auto"/>
        <w:ind w:left="540"/>
        <w:rPr>
          <w:bCs/>
        </w:rPr>
      </w:pPr>
      <w:r>
        <w:rPr>
          <w:bCs/>
        </w:rPr>
        <w:t>A final consideration is the</w:t>
      </w:r>
      <w:r w:rsidRPr="008C7110">
        <w:rPr>
          <w:bCs/>
        </w:rPr>
        <w:t xml:space="preserve"> 21-22 budget process for County and City</w:t>
      </w:r>
      <w:r>
        <w:rPr>
          <w:bCs/>
        </w:rPr>
        <w:t>. Budget</w:t>
      </w:r>
      <w:r w:rsidRPr="008C7110">
        <w:rPr>
          <w:bCs/>
        </w:rPr>
        <w:t xml:space="preserve"> </w:t>
      </w:r>
      <w:r>
        <w:rPr>
          <w:bCs/>
        </w:rPr>
        <w:t xml:space="preserve">staff will </w:t>
      </w:r>
      <w:r w:rsidRPr="008C7110">
        <w:rPr>
          <w:bCs/>
        </w:rPr>
        <w:t>need to ensure align</w:t>
      </w:r>
      <w:r>
        <w:rPr>
          <w:bCs/>
        </w:rPr>
        <w:t>ment</w:t>
      </w:r>
      <w:r w:rsidRPr="008C7110">
        <w:rPr>
          <w:bCs/>
        </w:rPr>
        <w:t xml:space="preserve"> with </w:t>
      </w:r>
      <w:r>
        <w:rPr>
          <w:bCs/>
        </w:rPr>
        <w:t>the “P</w:t>
      </w:r>
      <w:r w:rsidRPr="008C7110">
        <w:rPr>
          <w:bCs/>
        </w:rPr>
        <w:t>rovision of funds</w:t>
      </w:r>
      <w:r>
        <w:rPr>
          <w:bCs/>
        </w:rPr>
        <w:t>”</w:t>
      </w:r>
      <w:r w:rsidRPr="008C7110">
        <w:rPr>
          <w:bCs/>
        </w:rPr>
        <w:t xml:space="preserve"> clause in ILA</w:t>
      </w:r>
      <w:r>
        <w:rPr>
          <w:bCs/>
        </w:rPr>
        <w:t xml:space="preserve">. Decisions will need to be made around how central rates will be allocated to KCRHA staff. The workgroup has not dedicated effort to this. </w:t>
      </w:r>
    </w:p>
    <w:p w:rsidR="0074475C" w:rsidP="008C7110" w:rsidRDefault="001B79E0" w14:paraId="2F47C17B" w14:textId="5D773BFD">
      <w:pPr>
        <w:pStyle w:val="ListParagraph"/>
        <w:spacing w:after="0" w:line="240" w:lineRule="auto"/>
        <w:ind w:left="540"/>
        <w:rPr>
          <w:bCs/>
        </w:rPr>
      </w:pPr>
      <w:r>
        <w:rPr>
          <w:bCs/>
        </w:rPr>
        <w:t xml:space="preserve">The City and County workgroup has concluded meeting and desires to transition this work back to King County DCHS. </w:t>
      </w:r>
    </w:p>
    <w:p w:rsidRPr="00C61392" w:rsidR="001B79E0" w:rsidP="00C61392" w:rsidRDefault="001B79E0" w14:paraId="7730F975" w14:textId="77777777">
      <w:pPr>
        <w:spacing w:after="0" w:line="240" w:lineRule="auto"/>
        <w:rPr>
          <w:bCs/>
        </w:rPr>
      </w:pPr>
    </w:p>
    <w:p w:rsidR="004005A1" w:rsidP="008C7110" w:rsidRDefault="00C35428" w14:paraId="5795A7F0" w14:textId="28D0CCB2">
      <w:pPr>
        <w:pStyle w:val="ListParagraph"/>
        <w:spacing w:before="0" w:after="0" w:line="240" w:lineRule="auto"/>
        <w:ind w:left="540"/>
        <w:rPr>
          <w:bCs/>
        </w:rPr>
      </w:pPr>
      <w:r>
        <w:rPr>
          <w:bCs/>
        </w:rPr>
        <w:t>Workgroup</w:t>
      </w:r>
      <w:r w:rsidR="005666A0">
        <w:rPr>
          <w:bCs/>
        </w:rPr>
        <w:t xml:space="preserve"> </w:t>
      </w:r>
      <w:r>
        <w:rPr>
          <w:bCs/>
        </w:rPr>
        <w:t xml:space="preserve">contacts: </w:t>
      </w:r>
    </w:p>
    <w:p w:rsidR="005666A0" w:rsidP="00B25C18" w:rsidRDefault="00C35428" w14:paraId="453606C4" w14:textId="77777777">
      <w:pPr>
        <w:pStyle w:val="ListParagraph"/>
        <w:numPr>
          <w:ilvl w:val="0"/>
          <w:numId w:val="18"/>
        </w:numPr>
        <w:spacing w:before="0" w:after="0" w:line="240" w:lineRule="auto"/>
        <w:rPr>
          <w:bCs/>
        </w:rPr>
      </w:pPr>
      <w:r w:rsidRPr="005666A0">
        <w:rPr>
          <w:bCs/>
        </w:rPr>
        <w:t>Jason Escareno</w:t>
      </w:r>
      <w:r w:rsidRPr="005666A0" w:rsidR="005666A0">
        <w:rPr>
          <w:bCs/>
        </w:rPr>
        <w:t xml:space="preserve">, King County PSB, </w:t>
      </w:r>
      <w:hyperlink w:history="1" r:id="rId11">
        <w:r w:rsidRPr="006C780F" w:rsidR="005666A0">
          <w:rPr>
            <w:rStyle w:val="Hyperlink"/>
            <w:bCs/>
          </w:rPr>
          <w:t>jescareno@kingcounty.gov</w:t>
        </w:r>
      </w:hyperlink>
      <w:r w:rsidR="005666A0">
        <w:rPr>
          <w:bCs/>
        </w:rPr>
        <w:t xml:space="preserve"> </w:t>
      </w:r>
    </w:p>
    <w:p w:rsidRPr="005666A0" w:rsidR="00C35428" w:rsidP="00B25C18" w:rsidRDefault="00C35428" w14:paraId="7C98DEE7" w14:textId="343E4EAB">
      <w:pPr>
        <w:pStyle w:val="ListParagraph"/>
        <w:numPr>
          <w:ilvl w:val="0"/>
          <w:numId w:val="18"/>
        </w:numPr>
        <w:spacing w:before="0" w:after="0" w:line="240" w:lineRule="auto"/>
        <w:rPr>
          <w:bCs/>
        </w:rPr>
      </w:pPr>
      <w:r w:rsidRPr="005666A0">
        <w:rPr>
          <w:bCs/>
        </w:rPr>
        <w:t>So</w:t>
      </w:r>
      <w:r w:rsidRPr="005666A0" w:rsidR="005666A0">
        <w:rPr>
          <w:bCs/>
        </w:rPr>
        <w:t>la</w:t>
      </w:r>
      <w:r w:rsidRPr="005666A0">
        <w:rPr>
          <w:bCs/>
        </w:rPr>
        <w:t xml:space="preserve"> Plumacher</w:t>
      </w:r>
      <w:r w:rsidR="005666A0">
        <w:rPr>
          <w:bCs/>
        </w:rPr>
        <w:t>, Seattle Program Manager,</w:t>
      </w:r>
      <w:r w:rsidRPr="005666A0" w:rsidR="005666A0">
        <w:rPr>
          <w:bCs/>
        </w:rPr>
        <w:t xml:space="preserve"> </w:t>
      </w:r>
      <w:hyperlink w:history="1" r:id="rId12">
        <w:r w:rsidRPr="006C780F" w:rsidR="005666A0">
          <w:rPr>
            <w:rStyle w:val="Hyperlink"/>
            <w:bCs/>
          </w:rPr>
          <w:t>Sola.Plumacher@seattle.gov</w:t>
        </w:r>
      </w:hyperlink>
      <w:r w:rsidR="005666A0">
        <w:rPr>
          <w:bCs/>
        </w:rPr>
        <w:t xml:space="preserve"> </w:t>
      </w:r>
      <w:bookmarkStart w:name="_GoBack" w:id="0"/>
    </w:p>
    <w:bookmarkEnd w:id="0"/>
    <w:p w:rsidRPr="005666A0" w:rsidR="005666A0" w:rsidP="005666A0" w:rsidRDefault="005666A0" w14:paraId="5332EC05" w14:textId="0CC0FC3F">
      <w:pPr>
        <w:pStyle w:val="ListParagraph"/>
        <w:spacing w:before="0" w:after="0" w:line="240" w:lineRule="auto"/>
        <w:ind w:left="540"/>
        <w:rPr>
          <w:bCs/>
        </w:rPr>
      </w:pPr>
    </w:p>
    <w:sectPr w:rsidRPr="005666A0" w:rsidR="005666A0" w:rsidSect="009A66FD">
      <w:headerReference w:type="default" r:id="rId13"/>
      <w:pgSz w:w="12240" w:h="15840" w:orient="portrait"/>
      <w:pgMar w:top="720" w:right="864" w:bottom="720" w:left="864" w:header="720" w:footer="720" w:gutter="0"/>
      <w:cols w:space="720"/>
      <w:docGrid w:linePitch="360"/>
      <w:footerReference w:type="default" r:id="Rde8e44c211e745aa"/>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8A" w:rsidP="00245750" w:rsidRDefault="00AA5C8A" w14:paraId="4CFB5FF6" w14:textId="77777777">
      <w:pPr>
        <w:spacing w:after="0" w:line="240" w:lineRule="auto"/>
      </w:pPr>
      <w:r>
        <w:separator/>
      </w:r>
    </w:p>
  </w:endnote>
  <w:endnote w:type="continuationSeparator" w:id="0">
    <w:p w:rsidR="00AA5C8A" w:rsidP="00245750" w:rsidRDefault="00AA5C8A" w14:paraId="45BA8A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04"/>
      <w:gridCol w:w="3504"/>
      <w:gridCol w:w="3504"/>
    </w:tblGrid>
    <w:tr w:rsidR="59D58705" w:rsidTr="59D58705" w14:paraId="2563FAEA">
      <w:tc>
        <w:tcPr>
          <w:tcW w:w="3504" w:type="dxa"/>
          <w:tcMar/>
        </w:tcPr>
        <w:p w:rsidR="59D58705" w:rsidP="59D58705" w:rsidRDefault="59D58705" w14:paraId="20F39547" w14:textId="2BE8935D">
          <w:pPr>
            <w:pStyle w:val="Header"/>
            <w:bidi w:val="0"/>
            <w:ind w:left="-115"/>
            <w:jc w:val="left"/>
          </w:pPr>
        </w:p>
      </w:tc>
      <w:tc>
        <w:tcPr>
          <w:tcW w:w="3504" w:type="dxa"/>
          <w:tcMar/>
        </w:tcPr>
        <w:p w:rsidR="59D58705" w:rsidP="59D58705" w:rsidRDefault="59D58705" w14:paraId="1DA2C687" w14:textId="3DA238AA">
          <w:pPr>
            <w:pStyle w:val="Header"/>
            <w:bidi w:val="0"/>
            <w:jc w:val="center"/>
          </w:pPr>
        </w:p>
      </w:tc>
      <w:tc>
        <w:tcPr>
          <w:tcW w:w="3504" w:type="dxa"/>
          <w:tcMar/>
        </w:tcPr>
        <w:p w:rsidR="59D58705" w:rsidP="59D58705" w:rsidRDefault="59D58705" w14:paraId="0E0D903B" w14:textId="36317D2E">
          <w:pPr>
            <w:pStyle w:val="Header"/>
            <w:bidi w:val="0"/>
            <w:ind w:right="-115"/>
            <w:jc w:val="right"/>
          </w:pPr>
        </w:p>
      </w:tc>
    </w:tr>
  </w:tbl>
  <w:p w:rsidR="59D58705" w:rsidP="59D58705" w:rsidRDefault="59D58705" w14:paraId="419BAF9D" w14:textId="51B6BA22">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8A" w:rsidP="00245750" w:rsidRDefault="00AA5C8A" w14:paraId="70DD2E33" w14:textId="77777777">
      <w:pPr>
        <w:spacing w:after="0" w:line="240" w:lineRule="auto"/>
      </w:pPr>
      <w:r>
        <w:separator/>
      </w:r>
    </w:p>
  </w:footnote>
  <w:footnote w:type="continuationSeparator" w:id="0">
    <w:p w:rsidR="00AA5C8A" w:rsidP="00245750" w:rsidRDefault="00AA5C8A" w14:paraId="3A5803DC"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1D" w:rsidP="00275C48" w:rsidRDefault="00C964C8" w14:paraId="58F69EC2" w14:textId="2E5F3F2F">
    <w:pPr>
      <w:pStyle w:val="Header"/>
      <w:jc w:val="right"/>
      <w:rPr>
        <w:sz w:val="20"/>
        <w:szCs w:val="20"/>
      </w:rPr>
    </w:pPr>
    <w:sdt>
      <w:sdtPr>
        <w:rPr>
          <w:sz w:val="20"/>
          <w:szCs w:val="20"/>
        </w:rPr>
        <w:id w:val="-273557748"/>
        <w:docPartObj>
          <w:docPartGallery w:val="Watermarks"/>
          <w:docPartUnique/>
        </w:docPartObj>
      </w:sdtPr>
      <w:sdtEndPr/>
      <w:sdtContent>
        <w:r>
          <w:rPr>
            <w:noProof/>
            <w:sz w:val="20"/>
            <w:szCs w:val="20"/>
          </w:rPr>
          <w:pict w14:anchorId="249C6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left:0;text-align:left;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sdtContent>
    </w:sdt>
    <w:r w:rsidR="009E09C7">
      <w:rPr>
        <w:sz w:val="20"/>
        <w:szCs w:val="20"/>
      </w:rPr>
      <w:t>Unapproved Deliberative Draft</w:t>
    </w:r>
  </w:p>
  <w:p w:rsidRPr="00C964C8" w:rsidR="00275C48" w:rsidP="00275C48" w:rsidRDefault="009E09C7" w14:paraId="711B0E2E" w14:textId="119AA022">
    <w:pPr>
      <w:pStyle w:val="Header"/>
      <w:jc w:val="right"/>
      <w:rPr>
        <w:sz w:val="20"/>
        <w:szCs w:val="20"/>
      </w:rPr>
    </w:pPr>
    <w:r w:rsidRPr="00C964C8">
      <w:rPr>
        <w:strike/>
        <w:sz w:val="20"/>
        <w:szCs w:val="20"/>
      </w:rPr>
      <w:t xml:space="preserve">July </w:t>
    </w:r>
    <w:r w:rsidRPr="00C964C8" w:rsidR="0077737F">
      <w:rPr>
        <w:strike/>
        <w:sz w:val="20"/>
        <w:szCs w:val="20"/>
      </w:rPr>
      <w:t>14</w:t>
    </w:r>
    <w:r w:rsidRPr="00C964C8">
      <w:rPr>
        <w:strike/>
        <w:sz w:val="20"/>
        <w:szCs w:val="20"/>
      </w:rPr>
      <w:t>, 2020</w:t>
    </w:r>
    <w:r w:rsidR="00C964C8">
      <w:rPr>
        <w:strike/>
        <w:sz w:val="20"/>
        <w:szCs w:val="20"/>
      </w:rPr>
      <w:t xml:space="preserve"> </w:t>
    </w:r>
    <w:r w:rsidR="00C964C8">
      <w:rPr>
        <w:sz w:val="20"/>
        <w:szCs w:val="20"/>
      </w:rPr>
      <w:t>Updated Aug 15, 2020</w:t>
    </w:r>
  </w:p>
  <w:p w:rsidRPr="00DE759A" w:rsidR="00275C48" w:rsidP="00275C48" w:rsidRDefault="00275C48" w14:paraId="775BEA82" w14:textId="7777777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72CC"/>
    <w:multiLevelType w:val="hybridMultilevel"/>
    <w:tmpl w:val="A026545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9F405EA"/>
    <w:multiLevelType w:val="hybridMultilevel"/>
    <w:tmpl w:val="FDE618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08085E"/>
    <w:multiLevelType w:val="hybridMultilevel"/>
    <w:tmpl w:val="6B52B2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A27F9A"/>
    <w:multiLevelType w:val="hybridMultilevel"/>
    <w:tmpl w:val="1376D246"/>
    <w:lvl w:ilvl="0" w:tplc="842CED74">
      <w:start w:val="1"/>
      <w:numFmt w:val="bullet"/>
      <w:lvlText w:val=""/>
      <w:lvlJc w:val="left"/>
      <w:pPr>
        <w:ind w:left="540" w:hanging="360"/>
      </w:pPr>
      <w:rPr>
        <w:rFonts w:hint="default" w:ascii="Symbol" w:hAnsi="Symbol"/>
        <w:color w:val="auto"/>
      </w:rPr>
    </w:lvl>
    <w:lvl w:ilvl="1" w:tplc="04090003">
      <w:start w:val="1"/>
      <w:numFmt w:val="bullet"/>
      <w:lvlText w:val="o"/>
      <w:lvlJc w:val="left"/>
      <w:pPr>
        <w:ind w:left="1260" w:hanging="360"/>
      </w:pPr>
      <w:rPr>
        <w:rFonts w:hint="default" w:ascii="Courier New" w:hAnsi="Courier New" w:cs="Courier New"/>
      </w:rPr>
    </w:lvl>
    <w:lvl w:ilvl="2" w:tplc="04090005">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4" w15:restartNumberingAfterBreak="0">
    <w:nsid w:val="15F51FBD"/>
    <w:multiLevelType w:val="hybridMultilevel"/>
    <w:tmpl w:val="BE7050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D57B73"/>
    <w:multiLevelType w:val="hybridMultilevel"/>
    <w:tmpl w:val="22903E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ACC6961"/>
    <w:multiLevelType w:val="hybridMultilevel"/>
    <w:tmpl w:val="07B279C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501DC"/>
    <w:multiLevelType w:val="hybridMultilevel"/>
    <w:tmpl w:val="F67223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B746CC9"/>
    <w:multiLevelType w:val="hybridMultilevel"/>
    <w:tmpl w:val="6E64790E"/>
    <w:lvl w:ilvl="0" w:tplc="0409000F">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57021"/>
    <w:multiLevelType w:val="hybridMultilevel"/>
    <w:tmpl w:val="C7D4B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AF3AE3"/>
    <w:multiLevelType w:val="hybridMultilevel"/>
    <w:tmpl w:val="CA604D2A"/>
    <w:lvl w:ilvl="0" w:tplc="B0566D4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83AEA"/>
    <w:multiLevelType w:val="hybridMultilevel"/>
    <w:tmpl w:val="AF1A2F5A"/>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2" w15:restartNumberingAfterBreak="0">
    <w:nsid w:val="63AF7A6F"/>
    <w:multiLevelType w:val="hybridMultilevel"/>
    <w:tmpl w:val="6CA2FA06"/>
    <w:lvl w:ilvl="0" w:tplc="0409000F">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5A15F3"/>
    <w:multiLevelType w:val="hybridMultilevel"/>
    <w:tmpl w:val="6652C4A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D7D71"/>
    <w:multiLevelType w:val="hybridMultilevel"/>
    <w:tmpl w:val="60E6EC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6D654AC"/>
    <w:multiLevelType w:val="hybridMultilevel"/>
    <w:tmpl w:val="F6581D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CA52963"/>
    <w:multiLevelType w:val="hybridMultilevel"/>
    <w:tmpl w:val="1174E8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E32143F"/>
    <w:multiLevelType w:val="hybridMultilevel"/>
    <w:tmpl w:val="CBA4F360"/>
    <w:lvl w:ilvl="0" w:tplc="04090001">
      <w:start w:val="1"/>
      <w:numFmt w:val="bullet"/>
      <w:lvlText w:val=""/>
      <w:lvlJc w:val="left"/>
      <w:pPr>
        <w:ind w:left="1310" w:hanging="360"/>
      </w:pPr>
      <w:rPr>
        <w:rFonts w:hint="default" w:ascii="Symbol" w:hAnsi="Symbol"/>
      </w:rPr>
    </w:lvl>
    <w:lvl w:ilvl="1" w:tplc="04090003" w:tentative="1">
      <w:start w:val="1"/>
      <w:numFmt w:val="bullet"/>
      <w:lvlText w:val="o"/>
      <w:lvlJc w:val="left"/>
      <w:pPr>
        <w:ind w:left="2030" w:hanging="360"/>
      </w:pPr>
      <w:rPr>
        <w:rFonts w:hint="default" w:ascii="Courier New" w:hAnsi="Courier New" w:cs="Courier New"/>
      </w:rPr>
    </w:lvl>
    <w:lvl w:ilvl="2" w:tplc="04090005" w:tentative="1">
      <w:start w:val="1"/>
      <w:numFmt w:val="bullet"/>
      <w:lvlText w:val=""/>
      <w:lvlJc w:val="left"/>
      <w:pPr>
        <w:ind w:left="2750" w:hanging="360"/>
      </w:pPr>
      <w:rPr>
        <w:rFonts w:hint="default" w:ascii="Wingdings" w:hAnsi="Wingdings"/>
      </w:rPr>
    </w:lvl>
    <w:lvl w:ilvl="3" w:tplc="04090001" w:tentative="1">
      <w:start w:val="1"/>
      <w:numFmt w:val="bullet"/>
      <w:lvlText w:val=""/>
      <w:lvlJc w:val="left"/>
      <w:pPr>
        <w:ind w:left="3470" w:hanging="360"/>
      </w:pPr>
      <w:rPr>
        <w:rFonts w:hint="default" w:ascii="Symbol" w:hAnsi="Symbol"/>
      </w:rPr>
    </w:lvl>
    <w:lvl w:ilvl="4" w:tplc="04090003" w:tentative="1">
      <w:start w:val="1"/>
      <w:numFmt w:val="bullet"/>
      <w:lvlText w:val="o"/>
      <w:lvlJc w:val="left"/>
      <w:pPr>
        <w:ind w:left="4190" w:hanging="360"/>
      </w:pPr>
      <w:rPr>
        <w:rFonts w:hint="default" w:ascii="Courier New" w:hAnsi="Courier New" w:cs="Courier New"/>
      </w:rPr>
    </w:lvl>
    <w:lvl w:ilvl="5" w:tplc="04090005" w:tentative="1">
      <w:start w:val="1"/>
      <w:numFmt w:val="bullet"/>
      <w:lvlText w:val=""/>
      <w:lvlJc w:val="left"/>
      <w:pPr>
        <w:ind w:left="4910" w:hanging="360"/>
      </w:pPr>
      <w:rPr>
        <w:rFonts w:hint="default" w:ascii="Wingdings" w:hAnsi="Wingdings"/>
      </w:rPr>
    </w:lvl>
    <w:lvl w:ilvl="6" w:tplc="04090001" w:tentative="1">
      <w:start w:val="1"/>
      <w:numFmt w:val="bullet"/>
      <w:lvlText w:val=""/>
      <w:lvlJc w:val="left"/>
      <w:pPr>
        <w:ind w:left="5630" w:hanging="360"/>
      </w:pPr>
      <w:rPr>
        <w:rFonts w:hint="default" w:ascii="Symbol" w:hAnsi="Symbol"/>
      </w:rPr>
    </w:lvl>
    <w:lvl w:ilvl="7" w:tplc="04090003" w:tentative="1">
      <w:start w:val="1"/>
      <w:numFmt w:val="bullet"/>
      <w:lvlText w:val="o"/>
      <w:lvlJc w:val="left"/>
      <w:pPr>
        <w:ind w:left="6350" w:hanging="360"/>
      </w:pPr>
      <w:rPr>
        <w:rFonts w:hint="default" w:ascii="Courier New" w:hAnsi="Courier New" w:cs="Courier New"/>
      </w:rPr>
    </w:lvl>
    <w:lvl w:ilvl="8" w:tplc="04090005" w:tentative="1">
      <w:start w:val="1"/>
      <w:numFmt w:val="bullet"/>
      <w:lvlText w:val=""/>
      <w:lvlJc w:val="left"/>
      <w:pPr>
        <w:ind w:left="7070" w:hanging="360"/>
      </w:pPr>
      <w:rPr>
        <w:rFonts w:hint="default" w:ascii="Wingdings" w:hAnsi="Wingdings"/>
      </w:rPr>
    </w:lvl>
  </w:abstractNum>
  <w:abstractNum w:abstractNumId="18" w15:restartNumberingAfterBreak="0">
    <w:nsid w:val="7EE85E07"/>
    <w:multiLevelType w:val="hybridMultilevel"/>
    <w:tmpl w:val="053A0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6"/>
  </w:num>
  <w:num w:numId="4">
    <w:abstractNumId w:val="7"/>
  </w:num>
  <w:num w:numId="5">
    <w:abstractNumId w:val="14"/>
  </w:num>
  <w:num w:numId="6">
    <w:abstractNumId w:val="10"/>
  </w:num>
  <w:num w:numId="7">
    <w:abstractNumId w:val="13"/>
  </w:num>
  <w:num w:numId="8">
    <w:abstractNumId w:val="6"/>
  </w:num>
  <w:num w:numId="9">
    <w:abstractNumId w:val="0"/>
  </w:num>
  <w:num w:numId="10">
    <w:abstractNumId w:val="12"/>
  </w:num>
  <w:num w:numId="11">
    <w:abstractNumId w:val="8"/>
  </w:num>
  <w:num w:numId="12">
    <w:abstractNumId w:val="9"/>
  </w:num>
  <w:num w:numId="13">
    <w:abstractNumId w:val="2"/>
  </w:num>
  <w:num w:numId="14">
    <w:abstractNumId w:val="4"/>
  </w:num>
  <w:num w:numId="15">
    <w:abstractNumId w:val="5"/>
  </w:num>
  <w:num w:numId="16">
    <w:abstractNumId w:val="18"/>
  </w:num>
  <w:num w:numId="17">
    <w:abstractNumId w:val="17"/>
  </w:num>
  <w:num w:numId="18">
    <w:abstractNumId w:val="11"/>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proofState w:spelling="clean" w:grammar="dirty"/>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50"/>
    <w:rsid w:val="00011738"/>
    <w:rsid w:val="00014049"/>
    <w:rsid w:val="00033B96"/>
    <w:rsid w:val="000606AB"/>
    <w:rsid w:val="0006718A"/>
    <w:rsid w:val="00077B0A"/>
    <w:rsid w:val="00077B6C"/>
    <w:rsid w:val="00083DD4"/>
    <w:rsid w:val="000A17CF"/>
    <w:rsid w:val="000A38DE"/>
    <w:rsid w:val="000D513F"/>
    <w:rsid w:val="000E0EB6"/>
    <w:rsid w:val="000F3414"/>
    <w:rsid w:val="001171B9"/>
    <w:rsid w:val="0012122E"/>
    <w:rsid w:val="001224CE"/>
    <w:rsid w:val="001252CA"/>
    <w:rsid w:val="00126738"/>
    <w:rsid w:val="00130CD5"/>
    <w:rsid w:val="001405BE"/>
    <w:rsid w:val="0014651D"/>
    <w:rsid w:val="001823CB"/>
    <w:rsid w:val="0019141F"/>
    <w:rsid w:val="00192E73"/>
    <w:rsid w:val="001B79E0"/>
    <w:rsid w:val="001C5E12"/>
    <w:rsid w:val="001D0BD0"/>
    <w:rsid w:val="001D16F9"/>
    <w:rsid w:val="001F257B"/>
    <w:rsid w:val="001F79E1"/>
    <w:rsid w:val="00201035"/>
    <w:rsid w:val="00223BAC"/>
    <w:rsid w:val="00223C54"/>
    <w:rsid w:val="00245750"/>
    <w:rsid w:val="00250C7B"/>
    <w:rsid w:val="00267192"/>
    <w:rsid w:val="0027347E"/>
    <w:rsid w:val="00275C3E"/>
    <w:rsid w:val="00275C48"/>
    <w:rsid w:val="0027783B"/>
    <w:rsid w:val="00281ED1"/>
    <w:rsid w:val="002A4178"/>
    <w:rsid w:val="002A6D46"/>
    <w:rsid w:val="002B3A2B"/>
    <w:rsid w:val="002C426A"/>
    <w:rsid w:val="002E20F0"/>
    <w:rsid w:val="002E2D8E"/>
    <w:rsid w:val="002F2A93"/>
    <w:rsid w:val="003267D5"/>
    <w:rsid w:val="00343853"/>
    <w:rsid w:val="00346811"/>
    <w:rsid w:val="003A701D"/>
    <w:rsid w:val="003B7DFC"/>
    <w:rsid w:val="003C33DE"/>
    <w:rsid w:val="003D3364"/>
    <w:rsid w:val="004005A1"/>
    <w:rsid w:val="004115DD"/>
    <w:rsid w:val="00424BFE"/>
    <w:rsid w:val="00435C16"/>
    <w:rsid w:val="004374B1"/>
    <w:rsid w:val="00441F0E"/>
    <w:rsid w:val="00442030"/>
    <w:rsid w:val="00444992"/>
    <w:rsid w:val="0047397D"/>
    <w:rsid w:val="00476E5D"/>
    <w:rsid w:val="004823F7"/>
    <w:rsid w:val="004A1ECC"/>
    <w:rsid w:val="004A2382"/>
    <w:rsid w:val="004B31E4"/>
    <w:rsid w:val="004C1992"/>
    <w:rsid w:val="004D2A9B"/>
    <w:rsid w:val="005059F9"/>
    <w:rsid w:val="005160B8"/>
    <w:rsid w:val="005161E6"/>
    <w:rsid w:val="0052502E"/>
    <w:rsid w:val="00537200"/>
    <w:rsid w:val="005421CF"/>
    <w:rsid w:val="00560F71"/>
    <w:rsid w:val="005666A0"/>
    <w:rsid w:val="005A07DE"/>
    <w:rsid w:val="005B4438"/>
    <w:rsid w:val="005C7983"/>
    <w:rsid w:val="005F3580"/>
    <w:rsid w:val="005F4473"/>
    <w:rsid w:val="00602996"/>
    <w:rsid w:val="00607B96"/>
    <w:rsid w:val="0061281D"/>
    <w:rsid w:val="006135EB"/>
    <w:rsid w:val="00625E65"/>
    <w:rsid w:val="0064263D"/>
    <w:rsid w:val="00653761"/>
    <w:rsid w:val="00671C4B"/>
    <w:rsid w:val="0069058F"/>
    <w:rsid w:val="006927AD"/>
    <w:rsid w:val="006E74DB"/>
    <w:rsid w:val="006F3D64"/>
    <w:rsid w:val="006F575E"/>
    <w:rsid w:val="007072BE"/>
    <w:rsid w:val="00711B45"/>
    <w:rsid w:val="007149EB"/>
    <w:rsid w:val="007240B9"/>
    <w:rsid w:val="00726C82"/>
    <w:rsid w:val="00730CD6"/>
    <w:rsid w:val="007329C7"/>
    <w:rsid w:val="007412CE"/>
    <w:rsid w:val="0074404A"/>
    <w:rsid w:val="0074475C"/>
    <w:rsid w:val="00750D58"/>
    <w:rsid w:val="00753355"/>
    <w:rsid w:val="00756944"/>
    <w:rsid w:val="0077737F"/>
    <w:rsid w:val="00781292"/>
    <w:rsid w:val="007A24DF"/>
    <w:rsid w:val="008043A4"/>
    <w:rsid w:val="00835018"/>
    <w:rsid w:val="00836031"/>
    <w:rsid w:val="00850090"/>
    <w:rsid w:val="00891447"/>
    <w:rsid w:val="008B41E2"/>
    <w:rsid w:val="008C20E5"/>
    <w:rsid w:val="008C7110"/>
    <w:rsid w:val="008E40B4"/>
    <w:rsid w:val="008E671F"/>
    <w:rsid w:val="008E693E"/>
    <w:rsid w:val="008F7856"/>
    <w:rsid w:val="009109DF"/>
    <w:rsid w:val="009229AF"/>
    <w:rsid w:val="00943375"/>
    <w:rsid w:val="00946157"/>
    <w:rsid w:val="009652B8"/>
    <w:rsid w:val="009A66FD"/>
    <w:rsid w:val="009E09C7"/>
    <w:rsid w:val="009E177E"/>
    <w:rsid w:val="009F1778"/>
    <w:rsid w:val="00A16517"/>
    <w:rsid w:val="00A21396"/>
    <w:rsid w:val="00A225E1"/>
    <w:rsid w:val="00A32F76"/>
    <w:rsid w:val="00A63930"/>
    <w:rsid w:val="00A80A0C"/>
    <w:rsid w:val="00A80F4B"/>
    <w:rsid w:val="00A97319"/>
    <w:rsid w:val="00AA15B6"/>
    <w:rsid w:val="00AA5C8A"/>
    <w:rsid w:val="00B01C28"/>
    <w:rsid w:val="00B802B3"/>
    <w:rsid w:val="00BA3E69"/>
    <w:rsid w:val="00BC2568"/>
    <w:rsid w:val="00BC68F8"/>
    <w:rsid w:val="00BE7F17"/>
    <w:rsid w:val="00BF37AD"/>
    <w:rsid w:val="00C119BC"/>
    <w:rsid w:val="00C154E1"/>
    <w:rsid w:val="00C217C0"/>
    <w:rsid w:val="00C35428"/>
    <w:rsid w:val="00C42CB6"/>
    <w:rsid w:val="00C5324F"/>
    <w:rsid w:val="00C61392"/>
    <w:rsid w:val="00C644CA"/>
    <w:rsid w:val="00C74AF8"/>
    <w:rsid w:val="00C8685F"/>
    <w:rsid w:val="00C92FFC"/>
    <w:rsid w:val="00C964C8"/>
    <w:rsid w:val="00CA0FCA"/>
    <w:rsid w:val="00CB2806"/>
    <w:rsid w:val="00CB34D1"/>
    <w:rsid w:val="00CB35CE"/>
    <w:rsid w:val="00CE09CB"/>
    <w:rsid w:val="00CE4E24"/>
    <w:rsid w:val="00CE6B8A"/>
    <w:rsid w:val="00CF072F"/>
    <w:rsid w:val="00CF5564"/>
    <w:rsid w:val="00D03788"/>
    <w:rsid w:val="00D131F7"/>
    <w:rsid w:val="00D1524D"/>
    <w:rsid w:val="00D16087"/>
    <w:rsid w:val="00D22F3E"/>
    <w:rsid w:val="00D31591"/>
    <w:rsid w:val="00D51211"/>
    <w:rsid w:val="00D62876"/>
    <w:rsid w:val="00D966E6"/>
    <w:rsid w:val="00D968FB"/>
    <w:rsid w:val="00DA1EA1"/>
    <w:rsid w:val="00DB4D70"/>
    <w:rsid w:val="00DB541E"/>
    <w:rsid w:val="00DC2CD9"/>
    <w:rsid w:val="00DD2271"/>
    <w:rsid w:val="00DE4908"/>
    <w:rsid w:val="00DE759A"/>
    <w:rsid w:val="00E2088B"/>
    <w:rsid w:val="00E42992"/>
    <w:rsid w:val="00E56A7B"/>
    <w:rsid w:val="00E628E6"/>
    <w:rsid w:val="00E64241"/>
    <w:rsid w:val="00E6677E"/>
    <w:rsid w:val="00E73A9A"/>
    <w:rsid w:val="00E75C03"/>
    <w:rsid w:val="00E82486"/>
    <w:rsid w:val="00EA15C0"/>
    <w:rsid w:val="00EB35DB"/>
    <w:rsid w:val="00EB5C49"/>
    <w:rsid w:val="00EC1876"/>
    <w:rsid w:val="00EE5373"/>
    <w:rsid w:val="00EE6B80"/>
    <w:rsid w:val="00F16C9C"/>
    <w:rsid w:val="00F27470"/>
    <w:rsid w:val="00F47FE7"/>
    <w:rsid w:val="00F6571E"/>
    <w:rsid w:val="00F710BA"/>
    <w:rsid w:val="00F911EA"/>
    <w:rsid w:val="00FB6C06"/>
    <w:rsid w:val="00FD1217"/>
    <w:rsid w:val="00FE3923"/>
    <w:rsid w:val="00FE4AFD"/>
    <w:rsid w:val="075FAAB6"/>
    <w:rsid w:val="59D58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019BDA"/>
  <w15:chartTrackingRefBased/>
  <w15:docId w15:val="{1053B34E-2E96-4D16-BD87-AF2C2649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34385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385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245750"/>
    <w:pPr>
      <w:spacing w:before="12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45750"/>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E671F"/>
    <w:pPr>
      <w:spacing w:before="120" w:after="60"/>
      <w:ind w:left="720"/>
    </w:pPr>
  </w:style>
  <w:style w:type="table" w:styleId="TableGrid">
    <w:name w:val="Table Grid"/>
    <w:basedOn w:val="TableNormal"/>
    <w:uiPriority w:val="59"/>
    <w:rsid w:val="008E67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652B8"/>
    <w:rPr>
      <w:sz w:val="16"/>
      <w:szCs w:val="16"/>
    </w:rPr>
  </w:style>
  <w:style w:type="paragraph" w:styleId="CommentText">
    <w:name w:val="annotation text"/>
    <w:basedOn w:val="Normal"/>
    <w:link w:val="CommentTextChar"/>
    <w:uiPriority w:val="99"/>
    <w:semiHidden/>
    <w:unhideWhenUsed/>
    <w:rsid w:val="009652B8"/>
    <w:pPr>
      <w:spacing w:line="240" w:lineRule="auto"/>
    </w:pPr>
    <w:rPr>
      <w:sz w:val="20"/>
      <w:szCs w:val="20"/>
    </w:rPr>
  </w:style>
  <w:style w:type="character" w:styleId="CommentTextChar" w:customStyle="1">
    <w:name w:val="Comment Text Char"/>
    <w:basedOn w:val="DefaultParagraphFont"/>
    <w:link w:val="CommentText"/>
    <w:uiPriority w:val="99"/>
    <w:semiHidden/>
    <w:rsid w:val="009652B8"/>
    <w:rPr>
      <w:sz w:val="20"/>
      <w:szCs w:val="20"/>
    </w:rPr>
  </w:style>
  <w:style w:type="paragraph" w:styleId="CommentSubject">
    <w:name w:val="annotation subject"/>
    <w:basedOn w:val="CommentText"/>
    <w:next w:val="CommentText"/>
    <w:link w:val="CommentSubjectChar"/>
    <w:uiPriority w:val="99"/>
    <w:semiHidden/>
    <w:unhideWhenUsed/>
    <w:rsid w:val="009652B8"/>
    <w:rPr>
      <w:b/>
      <w:bCs/>
    </w:rPr>
  </w:style>
  <w:style w:type="character" w:styleId="CommentSubjectChar" w:customStyle="1">
    <w:name w:val="Comment Subject Char"/>
    <w:basedOn w:val="CommentTextChar"/>
    <w:link w:val="CommentSubject"/>
    <w:uiPriority w:val="99"/>
    <w:semiHidden/>
    <w:rsid w:val="009652B8"/>
    <w:rPr>
      <w:b/>
      <w:bCs/>
      <w:sz w:val="20"/>
      <w:szCs w:val="20"/>
    </w:rPr>
  </w:style>
  <w:style w:type="paragraph" w:styleId="BalloonText">
    <w:name w:val="Balloon Text"/>
    <w:basedOn w:val="Normal"/>
    <w:link w:val="BalloonTextChar"/>
    <w:uiPriority w:val="99"/>
    <w:semiHidden/>
    <w:unhideWhenUsed/>
    <w:rsid w:val="009652B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652B8"/>
    <w:rPr>
      <w:rFonts w:ascii="Segoe UI" w:hAnsi="Segoe UI" w:cs="Segoe UI"/>
      <w:sz w:val="18"/>
      <w:szCs w:val="18"/>
    </w:rPr>
  </w:style>
  <w:style w:type="character" w:styleId="Heading2Char" w:customStyle="1">
    <w:name w:val="Heading 2 Char"/>
    <w:basedOn w:val="DefaultParagraphFont"/>
    <w:link w:val="Heading2"/>
    <w:uiPriority w:val="9"/>
    <w:rsid w:val="00343853"/>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343853"/>
    <w:rPr>
      <w:rFonts w:asciiTheme="majorHAnsi" w:hAnsiTheme="majorHAnsi" w:eastAsiaTheme="majorEastAsia" w:cstheme="majorBidi"/>
      <w:color w:val="2E74B5" w:themeColor="accent1" w:themeShade="BF"/>
      <w:sz w:val="32"/>
      <w:szCs w:val="32"/>
    </w:rPr>
  </w:style>
  <w:style w:type="character" w:styleId="Strong">
    <w:name w:val="Strong"/>
    <w:basedOn w:val="DefaultParagraphFont"/>
    <w:uiPriority w:val="22"/>
    <w:qFormat/>
    <w:rsid w:val="00343853"/>
    <w:rPr>
      <w:b/>
      <w:bCs/>
    </w:rPr>
  </w:style>
  <w:style w:type="paragraph" w:styleId="Header">
    <w:name w:val="header"/>
    <w:basedOn w:val="Normal"/>
    <w:link w:val="HeaderChar"/>
    <w:uiPriority w:val="99"/>
    <w:unhideWhenUsed/>
    <w:rsid w:val="00275C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5C48"/>
  </w:style>
  <w:style w:type="paragraph" w:styleId="Footer">
    <w:name w:val="footer"/>
    <w:basedOn w:val="Normal"/>
    <w:link w:val="FooterChar"/>
    <w:uiPriority w:val="99"/>
    <w:unhideWhenUsed/>
    <w:rsid w:val="00275C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5C48"/>
  </w:style>
  <w:style w:type="paragraph" w:styleId="FootnoteText">
    <w:name w:val="footnote text"/>
    <w:basedOn w:val="Normal"/>
    <w:link w:val="FootnoteTextChar"/>
    <w:uiPriority w:val="99"/>
    <w:semiHidden/>
    <w:unhideWhenUsed/>
    <w:rsid w:val="002C426A"/>
    <w:pPr>
      <w:spacing w:after="0" w:line="240" w:lineRule="auto"/>
    </w:pPr>
    <w:rPr>
      <w:rFonts w:ascii="Calibri" w:hAnsi="Calibri" w:cs="Times New Roman"/>
      <w:sz w:val="20"/>
      <w:szCs w:val="20"/>
    </w:rPr>
  </w:style>
  <w:style w:type="character" w:styleId="FootnoteTextChar" w:customStyle="1">
    <w:name w:val="Footnote Text Char"/>
    <w:basedOn w:val="DefaultParagraphFont"/>
    <w:link w:val="FootnoteText"/>
    <w:uiPriority w:val="99"/>
    <w:semiHidden/>
    <w:rsid w:val="002C426A"/>
    <w:rPr>
      <w:rFonts w:ascii="Calibri" w:hAnsi="Calibri" w:cs="Times New Roman"/>
      <w:sz w:val="20"/>
      <w:szCs w:val="20"/>
    </w:rPr>
  </w:style>
  <w:style w:type="character" w:styleId="FootnoteReference">
    <w:name w:val="footnote reference"/>
    <w:basedOn w:val="DefaultParagraphFont"/>
    <w:uiPriority w:val="99"/>
    <w:semiHidden/>
    <w:unhideWhenUsed/>
    <w:rsid w:val="002C426A"/>
    <w:rPr>
      <w:vertAlign w:val="superscript"/>
    </w:rPr>
  </w:style>
  <w:style w:type="character" w:styleId="Hyperlink">
    <w:name w:val="Hyperlink"/>
    <w:basedOn w:val="DefaultParagraphFont"/>
    <w:uiPriority w:val="99"/>
    <w:unhideWhenUsed/>
    <w:rsid w:val="00BA3E69"/>
    <w:rPr>
      <w:color w:val="0563C1" w:themeColor="hyperlink"/>
      <w:u w:val="single"/>
    </w:rPr>
  </w:style>
  <w:style w:type="character" w:styleId="IntenseReference">
    <w:name w:val="Intense Reference"/>
    <w:basedOn w:val="DefaultParagraphFont"/>
    <w:uiPriority w:val="32"/>
    <w:qFormat/>
    <w:rsid w:val="00BA3E69"/>
    <w:rPr>
      <w:b/>
      <w:bCs/>
      <w:smallCaps/>
      <w:color w:val="5B9BD5" w:themeColor="accent1"/>
      <w:spacing w:val="5"/>
    </w:rPr>
  </w:style>
  <w:style w:type="character" w:styleId="FollowedHyperlink">
    <w:name w:val="FollowedHyperlink"/>
    <w:basedOn w:val="DefaultParagraphFont"/>
    <w:uiPriority w:val="99"/>
    <w:semiHidden/>
    <w:unhideWhenUsed/>
    <w:rsid w:val="00A21396"/>
    <w:rPr>
      <w:color w:val="954F72" w:themeColor="followedHyperlink"/>
      <w:u w:val="single"/>
    </w:rPr>
  </w:style>
  <w:style w:type="table" w:styleId="GridTable4-Accent5">
    <w:name w:val="Grid Table 4 Accent 5"/>
    <w:basedOn w:val="TableNormal"/>
    <w:uiPriority w:val="49"/>
    <w:rsid w:val="00DE4908"/>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customStyle="1">
    <w:name w:val="Unresolved Mention"/>
    <w:basedOn w:val="DefaultParagraphFont"/>
    <w:uiPriority w:val="99"/>
    <w:semiHidden/>
    <w:unhideWhenUsed/>
    <w:rsid w:val="00566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7710">
      <w:bodyDiv w:val="1"/>
      <w:marLeft w:val="0"/>
      <w:marRight w:val="0"/>
      <w:marTop w:val="0"/>
      <w:marBottom w:val="0"/>
      <w:divBdr>
        <w:top w:val="none" w:sz="0" w:space="0" w:color="auto"/>
        <w:left w:val="none" w:sz="0" w:space="0" w:color="auto"/>
        <w:bottom w:val="none" w:sz="0" w:space="0" w:color="auto"/>
        <w:right w:val="none" w:sz="0" w:space="0" w:color="auto"/>
      </w:divBdr>
    </w:div>
    <w:div w:id="276255429">
      <w:bodyDiv w:val="1"/>
      <w:marLeft w:val="0"/>
      <w:marRight w:val="0"/>
      <w:marTop w:val="0"/>
      <w:marBottom w:val="0"/>
      <w:divBdr>
        <w:top w:val="none" w:sz="0" w:space="0" w:color="auto"/>
        <w:left w:val="none" w:sz="0" w:space="0" w:color="auto"/>
        <w:bottom w:val="none" w:sz="0" w:space="0" w:color="auto"/>
        <w:right w:val="none" w:sz="0" w:space="0" w:color="auto"/>
      </w:divBdr>
    </w:div>
    <w:div w:id="584385266">
      <w:bodyDiv w:val="1"/>
      <w:marLeft w:val="0"/>
      <w:marRight w:val="0"/>
      <w:marTop w:val="0"/>
      <w:marBottom w:val="0"/>
      <w:divBdr>
        <w:top w:val="none" w:sz="0" w:space="0" w:color="auto"/>
        <w:left w:val="none" w:sz="0" w:space="0" w:color="auto"/>
        <w:bottom w:val="none" w:sz="0" w:space="0" w:color="auto"/>
        <w:right w:val="none" w:sz="0" w:space="0" w:color="auto"/>
      </w:divBdr>
    </w:div>
    <w:div w:id="620234530">
      <w:bodyDiv w:val="1"/>
      <w:marLeft w:val="0"/>
      <w:marRight w:val="0"/>
      <w:marTop w:val="0"/>
      <w:marBottom w:val="0"/>
      <w:divBdr>
        <w:top w:val="none" w:sz="0" w:space="0" w:color="auto"/>
        <w:left w:val="none" w:sz="0" w:space="0" w:color="auto"/>
        <w:bottom w:val="none" w:sz="0" w:space="0" w:color="auto"/>
        <w:right w:val="none" w:sz="0" w:space="0" w:color="auto"/>
      </w:divBdr>
    </w:div>
    <w:div w:id="1591238228">
      <w:bodyDiv w:val="1"/>
      <w:marLeft w:val="0"/>
      <w:marRight w:val="0"/>
      <w:marTop w:val="0"/>
      <w:marBottom w:val="0"/>
      <w:divBdr>
        <w:top w:val="none" w:sz="0" w:space="0" w:color="auto"/>
        <w:left w:val="none" w:sz="0" w:space="0" w:color="auto"/>
        <w:bottom w:val="none" w:sz="0" w:space="0" w:color="auto"/>
        <w:right w:val="none" w:sz="0" w:space="0" w:color="auto"/>
      </w:divBdr>
    </w:div>
    <w:div w:id="16789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ola.Plumacher@seattle.gov"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escareno@kingcounty.gov"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ed9f0829761847a3" /><Relationship Type="http://schemas.openxmlformats.org/officeDocument/2006/relationships/footer" Target="/word/footer.xml" Id="Rde8e44c211e745a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d2e7a70-fc62-4613-b040-ba491fc230ce}"/>
      </w:docPartPr>
      <w:docPartBody>
        <w:p w14:paraId="6EC7097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80F9059120504FA6690DD83DE68BD3" ma:contentTypeVersion="10" ma:contentTypeDescription="Create a new document." ma:contentTypeScope="" ma:versionID="6a8073f91e4949f62a9f3e9cf1673245">
  <xsd:schema xmlns:xsd="http://www.w3.org/2001/XMLSchema" xmlns:xs="http://www.w3.org/2001/XMLSchema" xmlns:p="http://schemas.microsoft.com/office/2006/metadata/properties" xmlns:ns3="513eec58-8c13-4542-b045-f0b45154ec03" targetNamespace="http://schemas.microsoft.com/office/2006/metadata/properties" ma:root="true" ma:fieldsID="ce003f29cf72b285517edfa7b6df78eb" ns3:_="">
    <xsd:import namespace="513eec58-8c13-4542-b045-f0b45154ec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eec58-8c13-4542-b045-f0b45154e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C264-585A-4053-93F4-0AFDC613650B}">
  <ds:schemaRefs>
    <ds:schemaRef ds:uri="http://schemas.microsoft.com/sharepoint/v3/contenttype/forms"/>
  </ds:schemaRefs>
</ds:datastoreItem>
</file>

<file path=customXml/itemProps2.xml><?xml version="1.0" encoding="utf-8"?>
<ds:datastoreItem xmlns:ds="http://schemas.openxmlformats.org/officeDocument/2006/customXml" ds:itemID="{1D07B85E-7A68-48E9-9DE7-071FEB6A5A4D}">
  <ds:schemaRefs>
    <ds:schemaRef ds:uri="http://schemas.openxmlformats.org/package/2006/metadata/core-properties"/>
    <ds:schemaRef ds:uri="513eec58-8c13-4542-b045-f0b45154ec0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809121FB-4934-4497-97C6-79B53FF3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eec58-8c13-4542-b045-f0b45154e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F6820-6FD7-4517-BBA6-F389EA7A74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King County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Spoelman, Karen</dc:creator>
  <keywords/>
  <dc:description/>
  <lastModifiedBy>Plumacher, Sola</lastModifiedBy>
  <revision>3</revision>
  <lastPrinted>2020-04-20T15:57:00.0000000Z</lastPrinted>
  <dcterms:created xsi:type="dcterms:W3CDTF">2020-08-15T16:46:00.0000000Z</dcterms:created>
  <dcterms:modified xsi:type="dcterms:W3CDTF">2020-08-18T20:41:01.7092897Z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0x0101008980F9059120504FA6690DD83DE68BD3</vt:lpwstr>
  </property>
</Properties>
</file>