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87" w:type="dxa"/>
        <w:tblInd w:w="-105" w:type="dxa"/>
        <w:tblBorders>
          <w:top w:val="single" w:color="4472C4" w:themeColor="accent5" w:sz="12" w:space="0"/>
          <w:left w:val="single" w:color="4472C4" w:themeColor="accent5" w:sz="12" w:space="0"/>
          <w:bottom w:val="single" w:color="4472C4" w:themeColor="accent5" w:sz="12" w:space="0"/>
          <w:right w:val="single" w:color="4472C4" w:themeColor="accent5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20"/>
        <w:gridCol w:w="8967"/>
      </w:tblGrid>
      <w:tr w:rsidRPr="000606AB" w:rsidR="000606AB" w:rsidTr="54A4DE24" w14:paraId="395232D1" w14:textId="77777777">
        <w:tc>
          <w:tcPr>
            <w:tcW w:w="1620" w:type="dxa"/>
            <w:tcMar/>
          </w:tcPr>
          <w:p w:rsidRPr="00DE4908" w:rsidR="005C7983" w:rsidP="07455ADF" w:rsidRDefault="009A66FD" w14:paraId="5EC2E197" w14:textId="55CEB13F">
            <w:pPr>
              <w:pStyle w:val="Title"/>
              <w:contextualSpacing w:val="0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07455ADF" w:rsidR="009A66F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Executive </w:t>
            </w:r>
            <w:r w:rsidRPr="07455ADF" w:rsidR="005C798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Decision</w:t>
            </w:r>
          </w:p>
        </w:tc>
        <w:tc>
          <w:tcPr>
            <w:tcW w:w="8967" w:type="dxa"/>
            <w:tcMar/>
          </w:tcPr>
          <w:p w:rsidR="00A21396" w:rsidP="00A21396" w:rsidRDefault="00A21396" w14:paraId="6640C4E5" w14:textId="77777777">
            <w:pPr>
              <w:pStyle w:val="Title"/>
              <w:spacing w:before="0"/>
              <w:ind w:left="360"/>
              <w:contextualSpacing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537200" w:rsidP="00A21396" w:rsidRDefault="00537200" w14:paraId="623F1D50" w14:textId="6171D604">
            <w:pPr>
              <w:pStyle w:val="Title"/>
              <w:numPr>
                <w:ilvl w:val="0"/>
                <w:numId w:val="12"/>
              </w:numPr>
              <w:spacing w:before="0"/>
              <w:contextualSpacing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Whether to </w:t>
            </w:r>
            <w:r w:rsidR="005666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proceed with procuring </w:t>
            </w:r>
            <w:r w:rsidR="00B967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AWC or PEBB as the Health Insurance </w:t>
            </w:r>
            <w:r w:rsidR="00D03C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Carrier for the RHA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5666A0" w:rsidP="005666A0" w:rsidRDefault="00D03CB9" w14:paraId="386E3444" w14:textId="2B0FF07C">
            <w:pPr>
              <w:pStyle w:val="ListParagraph"/>
              <w:numPr>
                <w:ilvl w:val="0"/>
                <w:numId w:val="19"/>
              </w:numPr>
              <w:spacing w:after="0"/>
            </w:pPr>
            <w:r>
              <w:t>The Regional Homeless Authority</w:t>
            </w:r>
            <w:r w:rsidR="001A65FF">
              <w:t xml:space="preserve"> qualifies for securing health insurance through 2 public options. </w:t>
            </w:r>
            <w:r>
              <w:t xml:space="preserve"> </w:t>
            </w:r>
          </w:p>
          <w:p w:rsidR="00011738" w:rsidP="00011738" w:rsidRDefault="001A65FF" w14:paraId="1993623F" w14:textId="2126AB32">
            <w:pPr>
              <w:pStyle w:val="ListParagraph"/>
              <w:numPr>
                <w:ilvl w:val="1"/>
                <w:numId w:val="19"/>
              </w:numPr>
              <w:spacing w:after="0"/>
            </w:pPr>
            <w:r>
              <w:t xml:space="preserve">Association of Washington Cities </w:t>
            </w:r>
            <w:r w:rsidR="00CD4E83">
              <w:t xml:space="preserve">– AWC offers a comprehensive menu of options for </w:t>
            </w:r>
            <w:r w:rsidR="00EF7974">
              <w:t>health, vision and dental plans as well as EAP, long term disability and workers compensation</w:t>
            </w:r>
            <w:r w:rsidR="00ED7C19">
              <w:t xml:space="preserve"> for employees of the RHA. AWC has the capacity to operate benefits administration as well</w:t>
            </w:r>
          </w:p>
          <w:p w:rsidRPr="00011738" w:rsidR="00011738" w:rsidP="54A4DE24" w:rsidRDefault="00011738" w14:paraId="7D0EBC13" w14:textId="3D652B26">
            <w:pPr>
              <w:pStyle w:val="ListParagraph"/>
              <w:numPr>
                <w:ilvl w:val="1"/>
                <w:numId w:val="19"/>
              </w:numPr>
              <w:spacing w:before="0" w:after="0"/>
              <w:ind/>
              <w:rPr/>
            </w:pPr>
            <w:r w:rsidR="2C5F100E">
              <w:rPr/>
              <w:t>P</w:t>
            </w:r>
            <w:r w:rsidR="756791E9">
              <w:rPr/>
              <w:t xml:space="preserve">ublic </w:t>
            </w:r>
            <w:r w:rsidR="2C5F100E">
              <w:rPr/>
              <w:t>E</w:t>
            </w:r>
            <w:r w:rsidR="756791E9">
              <w:rPr/>
              <w:t xml:space="preserve">mployees </w:t>
            </w:r>
            <w:r w:rsidR="2C5F100E">
              <w:rPr/>
              <w:t>B</w:t>
            </w:r>
            <w:r w:rsidR="756791E9">
              <w:rPr/>
              <w:t xml:space="preserve">enefits </w:t>
            </w:r>
            <w:r w:rsidR="2C5F100E">
              <w:rPr/>
              <w:t>B</w:t>
            </w:r>
            <w:r w:rsidR="756791E9">
              <w:rPr/>
              <w:t>oard</w:t>
            </w:r>
            <w:r w:rsidR="2C5F100E">
              <w:rPr/>
              <w:t xml:space="preserve"> </w:t>
            </w:r>
            <w:r w:rsidR="101E59C8">
              <w:rPr/>
              <w:t>–</w:t>
            </w:r>
            <w:r w:rsidR="03112EB0">
              <w:rPr/>
              <w:t xml:space="preserve"> </w:t>
            </w:r>
            <w:r w:rsidR="101E59C8">
              <w:rPr/>
              <w:t xml:space="preserve">PEBB offers a more limited yet cost effective option </w:t>
            </w:r>
          </w:p>
        </w:tc>
      </w:tr>
    </w:tbl>
    <w:p w:rsidR="54A4DE24" w:rsidRDefault="54A4DE24" w14:paraId="46F0D173" w14:textId="04E2C4A6"/>
    <w:p w:rsidRPr="002A6D46" w:rsidR="00EE6B80" w:rsidP="00EE6B80" w:rsidRDefault="00EE6B80" w14:paraId="787E803F" w14:textId="2DF22D47">
      <w:pPr>
        <w:spacing w:after="0" w:line="240" w:lineRule="auto"/>
        <w:contextualSpacing/>
        <w:rPr>
          <w:rStyle w:val="IntenseReference"/>
          <w:sz w:val="28"/>
          <w:szCs w:val="28"/>
          <w:u w:val="single"/>
        </w:rPr>
      </w:pPr>
      <w:r w:rsidRPr="54A4DE24" w:rsidR="00EE6B80">
        <w:rPr>
          <w:rStyle w:val="IntenseReference"/>
          <w:sz w:val="28"/>
          <w:szCs w:val="28"/>
          <w:u w:val="single"/>
        </w:rPr>
        <w:t>Background</w:t>
      </w:r>
      <w:r w:rsidRPr="54A4DE24" w:rsidR="00850090">
        <w:rPr>
          <w:rStyle w:val="IntenseReference"/>
          <w:sz w:val="28"/>
          <w:szCs w:val="28"/>
          <w:u w:val="single"/>
        </w:rPr>
        <w:t xml:space="preserve"> &amp; Context</w:t>
      </w:r>
    </w:p>
    <w:p w:rsidR="54A4DE24" w:rsidP="54A4DE24" w:rsidRDefault="54A4DE24" w14:paraId="0BBAC89F" w14:textId="415B1E60">
      <w:pPr>
        <w:pStyle w:val="Normal"/>
        <w:spacing w:after="0" w:line="240" w:lineRule="auto"/>
        <w:rPr>
          <w:rStyle w:val="IntenseReference"/>
          <w:sz w:val="28"/>
          <w:szCs w:val="28"/>
          <w:u w:val="single"/>
        </w:rPr>
      </w:pPr>
    </w:p>
    <w:p w:rsidR="14370A5F" w:rsidP="54A4DE24" w:rsidRDefault="14370A5F" w14:paraId="662B1F92" w14:textId="0C88F3CE">
      <w:pPr>
        <w:pStyle w:val="ListParagraph"/>
        <w:spacing w:before="0" w:after="0" w:line="240" w:lineRule="auto"/>
        <w:ind w:left="540"/>
        <w:rPr>
          <w:b w:val="1"/>
          <w:bCs w:val="1"/>
        </w:rPr>
      </w:pPr>
      <w:r w:rsidRPr="54A4DE24" w:rsidR="14370A5F">
        <w:rPr>
          <w:b w:val="1"/>
          <w:bCs w:val="1"/>
        </w:rPr>
        <w:t xml:space="preserve">KCRHA must have Health and Wellness Benefits in place for all new hires. </w:t>
      </w:r>
    </w:p>
    <w:p w:rsidR="54A4DE24" w:rsidP="54A4DE24" w:rsidRDefault="54A4DE24" w14:paraId="5FFA5AE2" w14:textId="7D86F081">
      <w:pPr>
        <w:pStyle w:val="ListParagraph"/>
        <w:spacing w:before="0" w:after="0" w:line="240" w:lineRule="auto"/>
        <w:ind w:left="540"/>
        <w:rPr>
          <w:b w:val="1"/>
          <w:bCs w:val="1"/>
        </w:rPr>
      </w:pPr>
    </w:p>
    <w:p w:rsidR="73BED8F8" w:rsidP="54A4DE24" w:rsidRDefault="73BED8F8" w14:paraId="46645C70" w14:textId="005EEA6D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73BED8F8">
        <w:rPr>
          <w:b w:val="0"/>
          <w:bCs w:val="0"/>
        </w:rPr>
        <w:t>The HR team comprised of King County and City of Seattle Staff have researched 2 options for public employee health benefit programs</w:t>
      </w:r>
      <w:r w:rsidR="2F27A8F4">
        <w:rPr>
          <w:b w:val="0"/>
          <w:bCs w:val="0"/>
        </w:rPr>
        <w:t>. Both of the proposed programs</w:t>
      </w:r>
      <w:r w:rsidR="25FFDF50">
        <w:rPr>
          <w:b w:val="0"/>
          <w:bCs w:val="0"/>
        </w:rPr>
        <w:t xml:space="preserve"> will ensure</w:t>
      </w:r>
      <w:r w:rsidR="1CFAFE36">
        <w:rPr>
          <w:b w:val="0"/>
          <w:bCs w:val="0"/>
        </w:rPr>
        <w:t xml:space="preserve"> KCRHA staff will have access to</w:t>
      </w:r>
      <w:r w:rsidR="25FFDF50">
        <w:rPr>
          <w:b w:val="0"/>
          <w:bCs w:val="0"/>
        </w:rPr>
        <w:t xml:space="preserve"> robust health and wellness insurance options </w:t>
      </w:r>
      <w:r w:rsidR="44DF0838">
        <w:rPr>
          <w:b w:val="0"/>
          <w:bCs w:val="0"/>
        </w:rPr>
        <w:t>similar to that which</w:t>
      </w:r>
      <w:r w:rsidR="25FFDF50">
        <w:rPr>
          <w:b w:val="0"/>
          <w:bCs w:val="0"/>
        </w:rPr>
        <w:t xml:space="preserve"> current county</w:t>
      </w:r>
      <w:r w:rsidR="3AB70424">
        <w:rPr>
          <w:b w:val="0"/>
          <w:bCs w:val="0"/>
        </w:rPr>
        <w:t xml:space="preserve">/city staff receive. </w:t>
      </w:r>
      <w:r w:rsidR="6204D62E">
        <w:rPr>
          <w:b w:val="0"/>
          <w:bCs w:val="0"/>
        </w:rPr>
        <w:t xml:space="preserve"> In order to provide benefits to staff in October/November the KCRHA must begin the application</w:t>
      </w:r>
      <w:r w:rsidR="2DB9061B">
        <w:rPr>
          <w:b w:val="0"/>
          <w:bCs w:val="0"/>
        </w:rPr>
        <w:t xml:space="preserve"> &amp; enrollment</w:t>
      </w:r>
      <w:r w:rsidR="6204D62E">
        <w:rPr>
          <w:b w:val="0"/>
          <w:bCs w:val="0"/>
        </w:rPr>
        <w:t xml:space="preserve"> process</w:t>
      </w:r>
      <w:r w:rsidR="28C55044">
        <w:rPr>
          <w:b w:val="0"/>
          <w:bCs w:val="0"/>
        </w:rPr>
        <w:t xml:space="preserve"> in September. </w:t>
      </w:r>
    </w:p>
    <w:p w:rsidR="54A4DE24" w:rsidP="54A4DE24" w:rsidRDefault="54A4DE24" w14:paraId="7BCC4205" w14:textId="2CAADBA9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="2F52B134" w:rsidP="54A4DE24" w:rsidRDefault="2F52B134" w14:paraId="179388B1" w14:textId="3B6945B7">
      <w:pPr>
        <w:pStyle w:val="ListParagraph"/>
        <w:spacing w:before="0" w:after="0" w:line="240" w:lineRule="auto"/>
        <w:ind w:left="540"/>
      </w:pPr>
      <w:r w:rsidRPr="54A4DE24" w:rsidR="2F52B134">
        <w:rPr>
          <w:rFonts w:ascii="Calibri" w:hAnsi="Calibri" w:eastAsia="Calibri" w:cs="Calibri"/>
          <w:noProof w:val="0"/>
          <w:sz w:val="22"/>
          <w:szCs w:val="22"/>
          <w:lang w:val="en-US"/>
        </w:rPr>
        <w:t>Option 1</w:t>
      </w:r>
      <w:r w:rsidR="2F52B134">
        <w:rPr>
          <w:b w:val="0"/>
          <w:bCs w:val="0"/>
        </w:rPr>
        <w:t>:</w:t>
      </w:r>
      <w:r w:rsidR="6FCEC0B1">
        <w:rPr>
          <w:b w:val="0"/>
          <w:bCs w:val="0"/>
        </w:rPr>
        <w:t xml:space="preserve"> </w:t>
      </w:r>
      <w:r w:rsidR="39B317C4">
        <w:rPr>
          <w:b w:val="0"/>
          <w:bCs w:val="0"/>
        </w:rPr>
        <w:t>Association</w:t>
      </w:r>
      <w:r w:rsidR="2F52B134">
        <w:rPr>
          <w:b w:val="0"/>
          <w:bCs w:val="0"/>
        </w:rPr>
        <w:t xml:space="preserve"> of </w:t>
      </w:r>
      <w:r w:rsidR="0B2361BD">
        <w:rPr>
          <w:b w:val="0"/>
          <w:bCs w:val="0"/>
        </w:rPr>
        <w:t>Washington</w:t>
      </w:r>
      <w:r w:rsidR="2F52B134">
        <w:rPr>
          <w:b w:val="0"/>
          <w:bCs w:val="0"/>
        </w:rPr>
        <w:t xml:space="preserve"> Cities</w:t>
      </w:r>
    </w:p>
    <w:p w:rsidR="0CBE4CBF" w:rsidP="54A4DE24" w:rsidRDefault="0CBE4CBF" w14:paraId="3E126FDD" w14:textId="37DBD7CE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0CBE4CBF">
        <w:rPr>
          <w:b w:val="0"/>
          <w:bCs w:val="0"/>
        </w:rPr>
        <w:t>AWC offers a benefits trust program for W</w:t>
      </w:r>
      <w:r w:rsidR="682C7461">
        <w:rPr>
          <w:b w:val="0"/>
          <w:bCs w:val="0"/>
        </w:rPr>
        <w:t>a</w:t>
      </w:r>
      <w:r w:rsidR="0CBE4CBF">
        <w:rPr>
          <w:b w:val="0"/>
          <w:bCs w:val="0"/>
        </w:rPr>
        <w:t>shington States Cities large and small to ensure public employees have access to quality health insur</w:t>
      </w:r>
      <w:r w:rsidR="6E916EA8">
        <w:rPr>
          <w:b w:val="0"/>
          <w:bCs w:val="0"/>
        </w:rPr>
        <w:t xml:space="preserve">ance at a </w:t>
      </w:r>
      <w:r w:rsidR="75D3696E">
        <w:rPr>
          <w:b w:val="0"/>
          <w:bCs w:val="0"/>
        </w:rPr>
        <w:t>competitive</w:t>
      </w:r>
      <w:r w:rsidR="6E916EA8">
        <w:rPr>
          <w:b w:val="0"/>
          <w:bCs w:val="0"/>
        </w:rPr>
        <w:t xml:space="preserve"> rate. </w:t>
      </w:r>
      <w:r w:rsidR="28C55044">
        <w:rPr>
          <w:b w:val="0"/>
          <w:bCs w:val="0"/>
        </w:rPr>
        <w:t xml:space="preserve">The City of Seattle is a member of AWC and as such, sponsored the initial application request to be considered for enrollment into the </w:t>
      </w:r>
      <w:r w:rsidR="3FF8C34D">
        <w:rPr>
          <w:b w:val="0"/>
          <w:bCs w:val="0"/>
        </w:rPr>
        <w:t xml:space="preserve">AWC </w:t>
      </w:r>
      <w:r w:rsidR="28C55044">
        <w:rPr>
          <w:b w:val="0"/>
          <w:bCs w:val="0"/>
        </w:rPr>
        <w:t>benefit trust program. Seattle</w:t>
      </w:r>
      <w:r w:rsidR="6C2568A6">
        <w:rPr>
          <w:b w:val="0"/>
          <w:bCs w:val="0"/>
        </w:rPr>
        <w:t xml:space="preserve"> City Council approved a resolution to sponsor the KCRHA in anticipation that the Implementa</w:t>
      </w:r>
      <w:r w:rsidR="7722E467">
        <w:rPr>
          <w:b w:val="0"/>
          <w:bCs w:val="0"/>
        </w:rPr>
        <w:t xml:space="preserve">tion Board may want to explore this option for future employees. </w:t>
      </w:r>
      <w:r w:rsidR="2CEA2270">
        <w:rPr>
          <w:b w:val="0"/>
          <w:bCs w:val="0"/>
        </w:rPr>
        <w:t xml:space="preserve"> The AWC Board of Directors has approved the application for the KCRHA to opt into services. </w:t>
      </w:r>
    </w:p>
    <w:p w:rsidR="54A4DE24" w:rsidP="54A4DE24" w:rsidRDefault="54A4DE24" w14:paraId="03D7C311" w14:textId="2A0BF489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="651BBFC6" w:rsidP="54A4DE24" w:rsidRDefault="651BBFC6" w14:paraId="3CE0909D" w14:textId="3D13C36E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651BBFC6">
        <w:rPr>
          <w:b w:val="0"/>
          <w:bCs w:val="0"/>
        </w:rPr>
        <w:t xml:space="preserve">Pros: </w:t>
      </w:r>
      <w:r w:rsidR="10C46633">
        <w:rPr>
          <w:b w:val="0"/>
          <w:bCs w:val="0"/>
        </w:rPr>
        <w:t>O</w:t>
      </w:r>
      <w:r w:rsidR="651BBFC6">
        <w:rPr>
          <w:b w:val="0"/>
          <w:bCs w:val="0"/>
        </w:rPr>
        <w:t xml:space="preserve">ffers a robust array of health care plans for the </w:t>
      </w:r>
      <w:r w:rsidR="507D254C">
        <w:rPr>
          <w:b w:val="0"/>
          <w:bCs w:val="0"/>
        </w:rPr>
        <w:t xml:space="preserve">KCRHA </w:t>
      </w:r>
      <w:r w:rsidR="651BBFC6">
        <w:rPr>
          <w:b w:val="0"/>
          <w:bCs w:val="0"/>
        </w:rPr>
        <w:t xml:space="preserve">to select from including several Regence options and several Kaiser Permanente plans. </w:t>
      </w:r>
      <w:r w:rsidR="31F4DB8C">
        <w:rPr>
          <w:b w:val="0"/>
          <w:bCs w:val="0"/>
        </w:rPr>
        <w:t>Additionally</w:t>
      </w:r>
      <w:r w:rsidR="651BBFC6">
        <w:rPr>
          <w:b w:val="0"/>
          <w:bCs w:val="0"/>
        </w:rPr>
        <w:t xml:space="preserve"> AWC offers</w:t>
      </w:r>
      <w:r w:rsidR="0A5A8287">
        <w:rPr>
          <w:b w:val="0"/>
          <w:bCs w:val="0"/>
        </w:rPr>
        <w:t xml:space="preserve"> 2 dental options and a vision option, life insurance, LTD, </w:t>
      </w:r>
      <w:r w:rsidR="651BBFC6">
        <w:rPr>
          <w:b w:val="0"/>
          <w:bCs w:val="0"/>
        </w:rPr>
        <w:t>EAP services</w:t>
      </w:r>
      <w:r w:rsidR="5E080640">
        <w:rPr>
          <w:b w:val="0"/>
          <w:bCs w:val="0"/>
        </w:rPr>
        <w:t xml:space="preserve"> &amp; benefits administration processing. </w:t>
      </w:r>
      <w:r w:rsidR="3F1CB1B6">
        <w:rPr>
          <w:b w:val="0"/>
          <w:bCs w:val="0"/>
        </w:rPr>
        <w:t xml:space="preserve">Cost is marginally </w:t>
      </w:r>
      <w:r w:rsidR="1B733786">
        <w:rPr>
          <w:b w:val="0"/>
          <w:bCs w:val="0"/>
        </w:rPr>
        <w:t xml:space="preserve">lower </w:t>
      </w:r>
      <w:r w:rsidR="3F1CB1B6">
        <w:rPr>
          <w:b w:val="0"/>
          <w:bCs w:val="0"/>
        </w:rPr>
        <w:t xml:space="preserve">that PEBB. </w:t>
      </w:r>
    </w:p>
    <w:p w:rsidR="54A4DE24" w:rsidP="54A4DE24" w:rsidRDefault="54A4DE24" w14:paraId="0D63629F" w14:textId="10294D89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="2C2031D1" w:rsidP="54A4DE24" w:rsidRDefault="2C2031D1" w14:paraId="3D5B45A7" w14:textId="73B541FC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2C2031D1">
        <w:rPr>
          <w:b w:val="0"/>
          <w:bCs w:val="0"/>
        </w:rPr>
        <w:t>Con</w:t>
      </w:r>
      <w:r w:rsidR="754D10EB">
        <w:rPr>
          <w:b w:val="0"/>
          <w:bCs w:val="0"/>
        </w:rPr>
        <w:t>s</w:t>
      </w:r>
      <w:r w:rsidR="2C2031D1">
        <w:rPr>
          <w:b w:val="0"/>
          <w:bCs w:val="0"/>
        </w:rPr>
        <w:t xml:space="preserve">: 3 year commitment to participate </w:t>
      </w:r>
    </w:p>
    <w:p w:rsidR="54A4DE24" w:rsidP="54A4DE24" w:rsidRDefault="54A4DE24" w14:paraId="64D30356" w14:textId="59A51222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="430D1DAA" w:rsidP="54A4DE24" w:rsidRDefault="430D1DAA" w14:paraId="7EB3BB3D" w14:textId="76569EEB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430D1DAA">
        <w:rPr>
          <w:b w:val="0"/>
          <w:bCs w:val="0"/>
        </w:rPr>
        <w:t>Option 2</w:t>
      </w:r>
      <w:r w:rsidR="753434D5">
        <w:rPr>
          <w:b w:val="0"/>
          <w:bCs w:val="0"/>
        </w:rPr>
        <w:t xml:space="preserve">: </w:t>
      </w:r>
      <w:r w:rsidR="25F3A09D">
        <w:rPr>
          <w:b w:val="0"/>
          <w:bCs w:val="0"/>
        </w:rPr>
        <w:t>P</w:t>
      </w:r>
      <w:r w:rsidR="1F33527F">
        <w:rPr>
          <w:b w:val="0"/>
          <w:bCs w:val="0"/>
        </w:rPr>
        <w:t xml:space="preserve">ublic </w:t>
      </w:r>
      <w:r w:rsidR="25F3A09D">
        <w:rPr>
          <w:b w:val="0"/>
          <w:bCs w:val="0"/>
        </w:rPr>
        <w:t>E</w:t>
      </w:r>
      <w:r w:rsidR="1C50D01F">
        <w:rPr>
          <w:b w:val="0"/>
          <w:bCs w:val="0"/>
        </w:rPr>
        <w:t xml:space="preserve">mployees </w:t>
      </w:r>
      <w:r w:rsidR="61B83AB1">
        <w:rPr>
          <w:b w:val="0"/>
          <w:bCs w:val="0"/>
        </w:rPr>
        <w:t>Benefits</w:t>
      </w:r>
      <w:r w:rsidR="03AA0B1C">
        <w:rPr>
          <w:b w:val="0"/>
          <w:bCs w:val="0"/>
        </w:rPr>
        <w:t xml:space="preserve"> </w:t>
      </w:r>
      <w:r w:rsidR="1B5108D7">
        <w:rPr>
          <w:b w:val="0"/>
          <w:bCs w:val="0"/>
        </w:rPr>
        <w:t>Board</w:t>
      </w:r>
    </w:p>
    <w:p w:rsidR="4A9C5ECC" w:rsidP="54A4DE24" w:rsidRDefault="4A9C5ECC" w14:paraId="0D06D4DD" w14:textId="766F48A9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4A9C5ECC">
        <w:rPr>
          <w:b w:val="0"/>
          <w:bCs w:val="0"/>
        </w:rPr>
        <w:t>PEBB is offered through the Washington State Healthcare Authority and open to all public employees</w:t>
      </w:r>
      <w:r w:rsidR="6BEAC396">
        <w:rPr>
          <w:b w:val="0"/>
          <w:bCs w:val="0"/>
        </w:rPr>
        <w:t xml:space="preserve">. </w:t>
      </w:r>
    </w:p>
    <w:p w:rsidR="54A4DE24" w:rsidP="54A4DE24" w:rsidRDefault="54A4DE24" w14:paraId="1336A630" w14:textId="64955B8B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="44E1C41C" w:rsidP="54A4DE24" w:rsidRDefault="44E1C41C" w14:paraId="7AF94C17" w14:textId="45497437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44E1C41C">
        <w:rPr>
          <w:b w:val="0"/>
          <w:bCs w:val="0"/>
        </w:rPr>
        <w:t xml:space="preserve">Pros: </w:t>
      </w:r>
      <w:r w:rsidR="6BEAC396">
        <w:rPr>
          <w:b w:val="0"/>
          <w:bCs w:val="0"/>
        </w:rPr>
        <w:t>PEBB offers a  selection of plans from Regence and Kaiser Permanente</w:t>
      </w:r>
      <w:r w:rsidR="37F59C12">
        <w:rPr>
          <w:b w:val="0"/>
          <w:bCs w:val="0"/>
        </w:rPr>
        <w:t xml:space="preserve">, dental, vision, life insurance and LTD. </w:t>
      </w:r>
    </w:p>
    <w:p w:rsidR="54A4DE24" w:rsidP="54A4DE24" w:rsidRDefault="54A4DE24" w14:paraId="13CEDBF9" w14:textId="6B73FBFA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="068A6B52" w:rsidP="54A4DE24" w:rsidRDefault="068A6B52" w14:paraId="7D49EA6C" w14:textId="22B7C5D8">
      <w:pPr>
        <w:pStyle w:val="ListParagraph"/>
        <w:spacing w:before="0" w:after="0" w:line="240" w:lineRule="auto"/>
        <w:ind w:left="540"/>
        <w:rPr>
          <w:b w:val="0"/>
          <w:bCs w:val="0"/>
        </w:rPr>
      </w:pPr>
      <w:r w:rsidR="068A6B52">
        <w:rPr>
          <w:b w:val="0"/>
          <w:bCs w:val="0"/>
        </w:rPr>
        <w:t xml:space="preserve">Cons: </w:t>
      </w:r>
      <w:r w:rsidR="37F59C12">
        <w:rPr>
          <w:b w:val="0"/>
          <w:bCs w:val="0"/>
        </w:rPr>
        <w:t>PEBB does not offer EAP or benefits admin services</w:t>
      </w:r>
      <w:r w:rsidR="5FA44A1A">
        <w:rPr>
          <w:b w:val="0"/>
          <w:bCs w:val="0"/>
        </w:rPr>
        <w:t xml:space="preserve"> and cost is a bit higher than AWC. </w:t>
      </w:r>
    </w:p>
    <w:p w:rsidR="54A4DE24" w:rsidP="54A4DE24" w:rsidRDefault="54A4DE24" w14:paraId="6AA84E7B" w14:textId="2FF312A2">
      <w:pPr>
        <w:pStyle w:val="ListParagraph"/>
        <w:spacing w:before="0" w:after="0" w:line="240" w:lineRule="auto"/>
        <w:ind w:left="540"/>
        <w:rPr>
          <w:b w:val="0"/>
          <w:bCs w:val="0"/>
        </w:rPr>
      </w:pPr>
    </w:p>
    <w:p w:rsidRPr="005666A0" w:rsidR="00C35428" w:rsidP="00B25C18" w:rsidRDefault="00C35428" w14:paraId="7C98DEE7" w14:textId="343E4EAB">
      <w:pPr>
        <w:pStyle w:val="ListParagraph"/>
        <w:numPr>
          <w:ilvl w:val="0"/>
          <w:numId w:val="18"/>
        </w:numPr>
        <w:spacing w:before="0" w:after="0" w:line="240" w:lineRule="auto"/>
        <w:rPr>
          <w:bCs/>
        </w:rPr>
      </w:pPr>
      <w:r w:rsidRPr="005666A0">
        <w:rPr>
          <w:bCs/>
        </w:rPr>
        <w:t>So</w:t>
      </w:r>
      <w:r w:rsidRPr="005666A0" w:rsidR="005666A0">
        <w:rPr>
          <w:bCs/>
        </w:rPr>
        <w:t>la</w:t>
      </w:r>
      <w:r w:rsidRPr="005666A0">
        <w:rPr>
          <w:bCs/>
        </w:rPr>
        <w:t xml:space="preserve"> Plumacher</w:t>
      </w:r>
      <w:r w:rsidR="005666A0">
        <w:rPr>
          <w:bCs/>
        </w:rPr>
        <w:t>, Seattle Program Manager,</w:t>
      </w:r>
      <w:r w:rsidRPr="005666A0" w:rsidR="005666A0">
        <w:rPr>
          <w:bCs/>
        </w:rPr>
        <w:t xml:space="preserve"> </w:t>
      </w:r>
      <w:hyperlink w:history="1" r:id="rId12">
        <w:r w:rsidRPr="006C780F" w:rsidR="005666A0">
          <w:rPr>
            <w:rStyle w:val="Hyperlink"/>
            <w:bCs/>
          </w:rPr>
          <w:t>Sola.Plumacher@seattle.gov</w:t>
        </w:r>
      </w:hyperlink>
      <w:r w:rsidR="005666A0">
        <w:rPr>
          <w:bCs/>
        </w:rPr>
        <w:t xml:space="preserve"> </w:t>
      </w:r>
    </w:p>
    <w:p w:rsidRPr="005666A0" w:rsidR="005666A0" w:rsidP="005666A0" w:rsidRDefault="005666A0" w14:paraId="5332EC05" w14:textId="0CC0FC3F">
      <w:pPr>
        <w:pStyle w:val="ListParagraph"/>
        <w:spacing w:before="0" w:after="0" w:line="240" w:lineRule="auto"/>
        <w:ind w:left="540"/>
      </w:pPr>
    </w:p>
    <w:p w:rsidR="54A4DE24" w:rsidP="54A4DE24" w:rsidRDefault="54A4DE24" w14:paraId="76F08312" w14:textId="2D46EA47">
      <w:pPr>
        <w:pStyle w:val="ListParagraph"/>
        <w:spacing w:before="0" w:after="0" w:line="240" w:lineRule="auto"/>
        <w:ind w:left="540"/>
      </w:pPr>
    </w:p>
    <w:p w:rsidR="54A4DE24" w:rsidP="54A4DE24" w:rsidRDefault="54A4DE24" w14:paraId="72470BB4" w14:textId="646C2947">
      <w:pPr>
        <w:pStyle w:val="ListParagraph"/>
        <w:spacing w:before="0" w:after="0" w:line="240" w:lineRule="auto"/>
        <w:ind w:left="540"/>
      </w:pPr>
    </w:p>
    <w:p w:rsidR="54A4DE24" w:rsidP="54A4DE24" w:rsidRDefault="54A4DE24" w14:paraId="33E1B0F2" w14:textId="04E78D0A">
      <w:pPr>
        <w:pStyle w:val="ListParagraph"/>
        <w:spacing w:before="0" w:after="0" w:line="240" w:lineRule="auto"/>
        <w:ind w:left="540"/>
      </w:pPr>
    </w:p>
    <w:p w:rsidR="54A4DE24" w:rsidP="54A4DE24" w:rsidRDefault="54A4DE24" w14:paraId="060A5434" w14:textId="23B47FED">
      <w:pPr>
        <w:pStyle w:val="ListParagraph"/>
        <w:spacing w:before="0" w:after="0" w:line="240" w:lineRule="auto"/>
        <w:ind w:left="540"/>
      </w:pPr>
    </w:p>
    <w:p w:rsidR="54A4DE24" w:rsidP="54A4DE24" w:rsidRDefault="54A4DE24" w14:paraId="524FE3F4" w14:textId="0C5A4FD3">
      <w:pPr>
        <w:pStyle w:val="ListParagraph"/>
        <w:spacing w:before="0" w:after="0" w:line="240" w:lineRule="auto"/>
        <w:ind w:left="540"/>
      </w:pPr>
    </w:p>
    <w:p w:rsidR="54A4DE24" w:rsidP="54A4DE24" w:rsidRDefault="54A4DE24" w14:paraId="7DD41EDC" w14:textId="079CA291">
      <w:pPr>
        <w:pStyle w:val="ListParagraph"/>
        <w:spacing w:before="0" w:after="0" w:line="240" w:lineRule="auto"/>
        <w:ind w:left="54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54A4DE24" w:rsidTr="54A4DE24" w14:paraId="2C8AA3B8">
        <w:tc>
          <w:tcPr>
            <w:tcW w:w="10512" w:type="dxa"/>
            <w:gridSpan w:val="8"/>
            <w:tcMar/>
          </w:tcPr>
          <w:p w:rsidR="54A4DE24" w:rsidP="54A4DE24" w:rsidRDefault="54A4DE24" w14:paraId="425B3822" w14:textId="5F83B2B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AWC Monthly Rates for Selected Plans (no Employer contribution applied)</w:t>
            </w:r>
          </w:p>
        </w:tc>
      </w:tr>
      <w:tr w:rsidR="54A4DE24" w:rsidTr="54A4DE24" w14:paraId="705C34A3">
        <w:tc>
          <w:tcPr>
            <w:tcW w:w="1314" w:type="dxa"/>
            <w:tcMar/>
          </w:tcPr>
          <w:p w:rsidR="54A4DE24" w:rsidP="54A4DE24" w:rsidRDefault="54A4DE24" w14:paraId="70FCED10" w14:textId="0C6CB3F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Benefit</w:t>
            </w:r>
          </w:p>
        </w:tc>
        <w:tc>
          <w:tcPr>
            <w:tcW w:w="1314" w:type="dxa"/>
            <w:tcMar/>
          </w:tcPr>
          <w:p w:rsidR="54A4DE24" w:rsidP="54A4DE24" w:rsidRDefault="54A4DE24" w14:paraId="4932B38C" w14:textId="174467D9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Plan</w:t>
            </w:r>
          </w:p>
        </w:tc>
        <w:tc>
          <w:tcPr>
            <w:tcW w:w="1314" w:type="dxa"/>
            <w:tcMar/>
          </w:tcPr>
          <w:p w:rsidR="54A4DE24" w:rsidP="54A4DE24" w:rsidRDefault="54A4DE24" w14:paraId="7496B7CB" w14:textId="0759E45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Per Employee (subscriber)</w:t>
            </w:r>
          </w:p>
        </w:tc>
        <w:tc>
          <w:tcPr>
            <w:tcW w:w="1314" w:type="dxa"/>
            <w:tcMar/>
          </w:tcPr>
          <w:p w:rsidR="54A4DE24" w:rsidP="54A4DE24" w:rsidRDefault="54A4DE24" w14:paraId="6598E106" w14:textId="0D10E434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Spouse</w:t>
            </w:r>
          </w:p>
        </w:tc>
        <w:tc>
          <w:tcPr>
            <w:tcW w:w="1314" w:type="dxa"/>
            <w:tcMar/>
          </w:tcPr>
          <w:p w:rsidR="54A4DE24" w:rsidP="54A4DE24" w:rsidRDefault="54A4DE24" w14:paraId="2FF405FC" w14:textId="297101D4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Child 1</w:t>
            </w:r>
          </w:p>
        </w:tc>
        <w:tc>
          <w:tcPr>
            <w:tcW w:w="1314" w:type="dxa"/>
            <w:tcMar/>
          </w:tcPr>
          <w:p w:rsidR="54A4DE24" w:rsidP="54A4DE24" w:rsidRDefault="54A4DE24" w14:paraId="5A9ACD83" w14:textId="12C3565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Child 2</w:t>
            </w:r>
          </w:p>
        </w:tc>
        <w:tc>
          <w:tcPr>
            <w:tcW w:w="1314" w:type="dxa"/>
            <w:tcMar/>
          </w:tcPr>
          <w:p w:rsidR="54A4DE24" w:rsidP="54A4DE24" w:rsidRDefault="54A4DE24" w14:paraId="342328DA" w14:textId="403BDCAC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Additional children</w:t>
            </w:r>
          </w:p>
        </w:tc>
        <w:tc>
          <w:tcPr>
            <w:tcW w:w="1314" w:type="dxa"/>
            <w:tcMar/>
          </w:tcPr>
          <w:p w:rsidR="54A4DE24" w:rsidP="54A4DE24" w:rsidRDefault="54A4DE24" w14:paraId="037FFEFF" w14:textId="5CB83A02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Less expensive plan option available?</w:t>
            </w:r>
          </w:p>
        </w:tc>
      </w:tr>
      <w:tr w:rsidR="54A4DE24" w:rsidTr="54A4DE24" w14:paraId="44465F31">
        <w:tc>
          <w:tcPr>
            <w:tcW w:w="1314" w:type="dxa"/>
            <w:tcMar/>
          </w:tcPr>
          <w:p w:rsidR="54A4DE24" w:rsidP="54A4DE24" w:rsidRDefault="54A4DE24" w14:paraId="716391A4" w14:textId="234DB02F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Medical HMO</w:t>
            </w:r>
          </w:p>
        </w:tc>
        <w:tc>
          <w:tcPr>
            <w:tcW w:w="1314" w:type="dxa"/>
            <w:tcMar/>
          </w:tcPr>
          <w:p w:rsidR="54A4DE24" w:rsidP="54A4DE24" w:rsidRDefault="54A4DE24" w14:paraId="2B3521A3" w14:textId="5BEF4EA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Kaiser 200</w:t>
            </w:r>
          </w:p>
        </w:tc>
        <w:tc>
          <w:tcPr>
            <w:tcW w:w="1314" w:type="dxa"/>
            <w:tcMar/>
          </w:tcPr>
          <w:p w:rsidR="54A4DE24" w:rsidP="54A4DE24" w:rsidRDefault="54A4DE24" w14:paraId="152336CB" w14:textId="5B88FB2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631.99</w:t>
            </w:r>
          </w:p>
        </w:tc>
        <w:tc>
          <w:tcPr>
            <w:tcW w:w="1314" w:type="dxa"/>
            <w:tcMar/>
          </w:tcPr>
          <w:p w:rsidR="54A4DE24" w:rsidP="54A4DE24" w:rsidRDefault="54A4DE24" w14:paraId="13F66530" w14:textId="5A49A83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621.44</w:t>
            </w:r>
          </w:p>
        </w:tc>
        <w:tc>
          <w:tcPr>
            <w:tcW w:w="1314" w:type="dxa"/>
            <w:tcMar/>
          </w:tcPr>
          <w:p w:rsidR="54A4DE24" w:rsidP="54A4DE24" w:rsidRDefault="54A4DE24" w14:paraId="2679483B" w14:textId="29382B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317.1</w:t>
            </w:r>
          </w:p>
        </w:tc>
        <w:tc>
          <w:tcPr>
            <w:tcW w:w="1314" w:type="dxa"/>
            <w:tcMar/>
          </w:tcPr>
          <w:p w:rsidR="54A4DE24" w:rsidP="54A4DE24" w:rsidRDefault="54A4DE24" w14:paraId="46984FD7" w14:textId="381D78F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317.1</w:t>
            </w:r>
          </w:p>
        </w:tc>
        <w:tc>
          <w:tcPr>
            <w:tcW w:w="1314" w:type="dxa"/>
            <w:tcMar/>
          </w:tcPr>
          <w:p w:rsidR="54A4DE24" w:rsidP="54A4DE24" w:rsidRDefault="54A4DE24" w14:paraId="061E5B0B" w14:textId="50A25B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5804A795" w14:textId="46DFF70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</w:tr>
      <w:tr w:rsidR="54A4DE24" w:rsidTr="54A4DE24" w14:paraId="2AE4E93E">
        <w:tc>
          <w:tcPr>
            <w:tcW w:w="1314" w:type="dxa"/>
            <w:tcMar/>
          </w:tcPr>
          <w:p w:rsidR="54A4DE24" w:rsidP="54A4DE24" w:rsidRDefault="54A4DE24" w14:paraId="40487D75" w14:textId="117D10A6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Medical PPO</w:t>
            </w:r>
          </w:p>
        </w:tc>
        <w:tc>
          <w:tcPr>
            <w:tcW w:w="1314" w:type="dxa"/>
            <w:tcMar/>
          </w:tcPr>
          <w:p w:rsidR="54A4DE24" w:rsidP="54A4DE24" w:rsidRDefault="54A4DE24" w14:paraId="4BF90F8E" w14:textId="0F7FA469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Regence 250</w:t>
            </w:r>
          </w:p>
        </w:tc>
        <w:tc>
          <w:tcPr>
            <w:tcW w:w="1314" w:type="dxa"/>
            <w:tcMar/>
          </w:tcPr>
          <w:p w:rsidR="54A4DE24" w:rsidP="54A4DE24" w:rsidRDefault="54A4DE24" w14:paraId="708A8B31" w14:textId="175099D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758.4</w:t>
            </w:r>
          </w:p>
        </w:tc>
        <w:tc>
          <w:tcPr>
            <w:tcW w:w="1314" w:type="dxa"/>
            <w:tcMar/>
          </w:tcPr>
          <w:p w:rsidR="54A4DE24" w:rsidP="54A4DE24" w:rsidRDefault="54A4DE24" w14:paraId="0F313711" w14:textId="230193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764.76</w:t>
            </w:r>
          </w:p>
        </w:tc>
        <w:tc>
          <w:tcPr>
            <w:tcW w:w="1314" w:type="dxa"/>
            <w:tcMar/>
          </w:tcPr>
          <w:p w:rsidR="54A4DE24" w:rsidP="54A4DE24" w:rsidRDefault="54A4DE24" w14:paraId="32EBC28B" w14:textId="0071573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376.74</w:t>
            </w:r>
          </w:p>
        </w:tc>
        <w:tc>
          <w:tcPr>
            <w:tcW w:w="1314" w:type="dxa"/>
            <w:tcMar/>
          </w:tcPr>
          <w:p w:rsidR="54A4DE24" w:rsidP="54A4DE24" w:rsidRDefault="54A4DE24" w14:paraId="1C0CB1E0" w14:textId="1C87863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311.46</w:t>
            </w:r>
          </w:p>
        </w:tc>
        <w:tc>
          <w:tcPr>
            <w:tcW w:w="1314" w:type="dxa"/>
            <w:tcMar/>
          </w:tcPr>
          <w:p w:rsidR="54A4DE24" w:rsidP="54A4DE24" w:rsidRDefault="54A4DE24" w14:paraId="3740B3F9" w14:textId="000331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5DD48078" w14:textId="78B3119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</w:tr>
      <w:tr w:rsidR="54A4DE24" w:rsidTr="54A4DE24" w14:paraId="45149757">
        <w:tc>
          <w:tcPr>
            <w:tcW w:w="1314" w:type="dxa"/>
            <w:tcMar/>
          </w:tcPr>
          <w:p w:rsidR="54A4DE24" w:rsidP="54A4DE24" w:rsidRDefault="54A4DE24" w14:paraId="66EEB259" w14:textId="2CEE4CCA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Dental PPO</w:t>
            </w:r>
          </w:p>
        </w:tc>
        <w:tc>
          <w:tcPr>
            <w:tcW w:w="1314" w:type="dxa"/>
            <w:tcMar/>
          </w:tcPr>
          <w:p w:rsidR="54A4DE24" w:rsidP="54A4DE24" w:rsidRDefault="54A4DE24" w14:paraId="13B1F491" w14:textId="1D22823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Delta Dental Plan E</w:t>
            </w:r>
          </w:p>
        </w:tc>
        <w:tc>
          <w:tcPr>
            <w:tcW w:w="1314" w:type="dxa"/>
            <w:tcMar/>
          </w:tcPr>
          <w:p w:rsidR="54A4DE24" w:rsidP="54A4DE24" w:rsidRDefault="54A4DE24" w14:paraId="008D7B4C" w14:textId="4993C32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48.69</w:t>
            </w:r>
          </w:p>
        </w:tc>
        <w:tc>
          <w:tcPr>
            <w:tcW w:w="1314" w:type="dxa"/>
            <w:tcMar/>
          </w:tcPr>
          <w:p w:rsidR="54A4DE24" w:rsidP="54A4DE24" w:rsidRDefault="54A4DE24" w14:paraId="3380ADD8" w14:textId="00E630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41.84</w:t>
            </w:r>
          </w:p>
        </w:tc>
        <w:tc>
          <w:tcPr>
            <w:tcW w:w="1314" w:type="dxa"/>
            <w:tcMar/>
          </w:tcPr>
          <w:p w:rsidR="54A4DE24" w:rsidP="54A4DE24" w:rsidRDefault="54A4DE24" w14:paraId="09B37B02" w14:textId="222B07F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58.34</w:t>
            </w:r>
          </w:p>
        </w:tc>
        <w:tc>
          <w:tcPr>
            <w:tcW w:w="1314" w:type="dxa"/>
            <w:tcMar/>
          </w:tcPr>
          <w:p w:rsidR="54A4DE24" w:rsidP="54A4DE24" w:rsidRDefault="54A4DE24" w14:paraId="011AF754" w14:textId="515CC6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39F6ED77" w14:textId="6DB777F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2A57157" w14:textId="1DDF4DB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</w:tr>
      <w:tr w:rsidR="54A4DE24" w:rsidTr="54A4DE24" w14:paraId="7C493527">
        <w:tc>
          <w:tcPr>
            <w:tcW w:w="1314" w:type="dxa"/>
            <w:tcMar/>
          </w:tcPr>
          <w:p w:rsidR="54A4DE24" w:rsidP="54A4DE24" w:rsidRDefault="54A4DE24" w14:paraId="46C7952C" w14:textId="1C91A8B5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Ortho</w:t>
            </w:r>
          </w:p>
        </w:tc>
        <w:tc>
          <w:tcPr>
            <w:tcW w:w="1314" w:type="dxa"/>
            <w:tcMar/>
          </w:tcPr>
          <w:p w:rsidR="54A4DE24" w:rsidP="54A4DE24" w:rsidRDefault="54A4DE24" w14:paraId="246995A8" w14:textId="2E49137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Delta Dental Ortho rider 3</w:t>
            </w:r>
          </w:p>
        </w:tc>
        <w:tc>
          <w:tcPr>
            <w:tcW w:w="1314" w:type="dxa"/>
            <w:tcMar/>
          </w:tcPr>
          <w:p w:rsidR="54A4DE24" w:rsidP="54A4DE24" w:rsidRDefault="54A4DE24" w14:paraId="7EAAD942" w14:textId="48DB17A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1.23</w:t>
            </w:r>
          </w:p>
        </w:tc>
        <w:tc>
          <w:tcPr>
            <w:tcW w:w="1314" w:type="dxa"/>
            <w:tcMar/>
          </w:tcPr>
          <w:p w:rsidR="54A4DE24" w:rsidP="54A4DE24" w:rsidRDefault="54A4DE24" w14:paraId="520368D1" w14:textId="3DFC373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1.82</w:t>
            </w:r>
          </w:p>
        </w:tc>
        <w:tc>
          <w:tcPr>
            <w:tcW w:w="1314" w:type="dxa"/>
            <w:tcMar/>
          </w:tcPr>
          <w:p w:rsidR="54A4DE24" w:rsidP="54A4DE24" w:rsidRDefault="54A4DE24" w14:paraId="44682076" w14:textId="420CBC5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18.73</w:t>
            </w:r>
          </w:p>
        </w:tc>
        <w:tc>
          <w:tcPr>
            <w:tcW w:w="1314" w:type="dxa"/>
            <w:tcMar/>
          </w:tcPr>
          <w:p w:rsidR="54A4DE24" w:rsidP="54A4DE24" w:rsidRDefault="54A4DE24" w14:paraId="26C1C5E4" w14:textId="5D75DCB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72D2BEA8" w14:textId="77591A3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0C4B07F8" w14:textId="07173C9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</w:tr>
      <w:tr w:rsidR="54A4DE24" w:rsidTr="54A4DE24" w14:paraId="63D9C2B5">
        <w:tc>
          <w:tcPr>
            <w:tcW w:w="1314" w:type="dxa"/>
            <w:tcMar/>
          </w:tcPr>
          <w:p w:rsidR="54A4DE24" w:rsidP="54A4DE24" w:rsidRDefault="54A4DE24" w14:paraId="228804FC" w14:textId="191F9345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Dental MCO</w:t>
            </w:r>
          </w:p>
        </w:tc>
        <w:tc>
          <w:tcPr>
            <w:tcW w:w="1314" w:type="dxa"/>
            <w:tcMar/>
          </w:tcPr>
          <w:p w:rsidR="54A4DE24" w:rsidP="54A4DE24" w:rsidRDefault="54A4DE24" w14:paraId="0AF75CB9" w14:textId="1729563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Willamette $15 copay</w:t>
            </w:r>
            <w:r>
              <w:br/>
            </w: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(ortho included)</w:t>
            </w:r>
          </w:p>
        </w:tc>
        <w:tc>
          <w:tcPr>
            <w:tcW w:w="1314" w:type="dxa"/>
            <w:tcMar/>
          </w:tcPr>
          <w:p w:rsidR="54A4DE24" w:rsidP="54A4DE24" w:rsidRDefault="54A4DE24" w14:paraId="392828B0" w14:textId="761FD49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54.69</w:t>
            </w:r>
          </w:p>
        </w:tc>
        <w:tc>
          <w:tcPr>
            <w:tcW w:w="1314" w:type="dxa"/>
            <w:tcMar/>
          </w:tcPr>
          <w:p w:rsidR="54A4DE24" w:rsidP="54A4DE24" w:rsidRDefault="54A4DE24" w14:paraId="5193E46B" w14:textId="3DD6C64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50.79</w:t>
            </w:r>
          </w:p>
        </w:tc>
        <w:tc>
          <w:tcPr>
            <w:tcW w:w="1314" w:type="dxa"/>
            <w:tcMar/>
          </w:tcPr>
          <w:p w:rsidR="54A4DE24" w:rsidP="54A4DE24" w:rsidRDefault="54A4DE24" w14:paraId="3DDD70F9" w14:textId="5B1E958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68.54</w:t>
            </w:r>
          </w:p>
        </w:tc>
        <w:tc>
          <w:tcPr>
            <w:tcW w:w="1314" w:type="dxa"/>
            <w:tcMar/>
          </w:tcPr>
          <w:p w:rsidR="54A4DE24" w:rsidP="54A4DE24" w:rsidRDefault="54A4DE24" w14:paraId="74F73C0B" w14:textId="36AE2AE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068DF7A8" w14:textId="27FA2979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7A1B8DE8" w14:textId="6735126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</w:tr>
      <w:tr w:rsidR="54A4DE24" w:rsidTr="54A4DE24" w14:paraId="239ED078">
        <w:tc>
          <w:tcPr>
            <w:tcW w:w="1314" w:type="dxa"/>
            <w:tcMar/>
          </w:tcPr>
          <w:p w:rsidR="54A4DE24" w:rsidP="54A4DE24" w:rsidRDefault="54A4DE24" w14:paraId="443B7020" w14:textId="6B8AD707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Vision</w:t>
            </w:r>
          </w:p>
        </w:tc>
        <w:tc>
          <w:tcPr>
            <w:tcW w:w="1314" w:type="dxa"/>
            <w:tcMar/>
          </w:tcPr>
          <w:p w:rsidR="54A4DE24" w:rsidP="54A4DE24" w:rsidRDefault="54A4DE24" w14:paraId="3B596C97" w14:textId="12BA4A2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VSP $10 copay</w:t>
            </w:r>
          </w:p>
        </w:tc>
        <w:tc>
          <w:tcPr>
            <w:tcW w:w="1314" w:type="dxa"/>
            <w:tcMar/>
          </w:tcPr>
          <w:p w:rsidR="54A4DE24" w:rsidP="54A4DE24" w:rsidRDefault="54A4DE24" w14:paraId="21154425" w14:textId="1C11B1D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9.54</w:t>
            </w:r>
          </w:p>
        </w:tc>
        <w:tc>
          <w:tcPr>
            <w:tcW w:w="1314" w:type="dxa"/>
            <w:tcMar/>
          </w:tcPr>
          <w:p w:rsidR="54A4DE24" w:rsidP="54A4DE24" w:rsidRDefault="54A4DE24" w14:paraId="4A80F19D" w14:textId="4A7F635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9.52</w:t>
            </w:r>
          </w:p>
        </w:tc>
        <w:tc>
          <w:tcPr>
            <w:tcW w:w="1314" w:type="dxa"/>
            <w:tcMar/>
          </w:tcPr>
          <w:p w:rsidR="54A4DE24" w:rsidP="54A4DE24" w:rsidRDefault="54A4DE24" w14:paraId="39C52C48" w14:textId="7BCBD3B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9.52</w:t>
            </w:r>
          </w:p>
        </w:tc>
        <w:tc>
          <w:tcPr>
            <w:tcW w:w="1314" w:type="dxa"/>
            <w:tcMar/>
          </w:tcPr>
          <w:p w:rsidR="54A4DE24" w:rsidP="54A4DE24" w:rsidRDefault="54A4DE24" w14:paraId="242D78D3" w14:textId="3374700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47CCE4E" w14:textId="3FE7948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4169EC2F" w14:textId="56EB648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</w:tr>
      <w:tr w:rsidR="54A4DE24" w:rsidTr="54A4DE24" w14:paraId="5EA5A53E">
        <w:tc>
          <w:tcPr>
            <w:tcW w:w="1314" w:type="dxa"/>
            <w:tcMar/>
          </w:tcPr>
          <w:p w:rsidR="54A4DE24" w:rsidP="54A4DE24" w:rsidRDefault="54A4DE24" w14:paraId="2D230BF3" w14:textId="47B0BF32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EAP</w:t>
            </w:r>
          </w:p>
        </w:tc>
        <w:tc>
          <w:tcPr>
            <w:tcW w:w="1314" w:type="dxa"/>
            <w:tcMar/>
          </w:tcPr>
          <w:p w:rsidR="54A4DE24" w:rsidP="54A4DE24" w:rsidRDefault="54A4DE24" w14:paraId="2376BA81" w14:textId="0F502F7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EAP (3 free sessions)</w:t>
            </w:r>
          </w:p>
        </w:tc>
        <w:tc>
          <w:tcPr>
            <w:tcW w:w="1314" w:type="dxa"/>
            <w:tcMar/>
          </w:tcPr>
          <w:p w:rsidR="54A4DE24" w:rsidP="54A4DE24" w:rsidRDefault="54A4DE24" w14:paraId="051A1140" w14:textId="2DFD9A0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8FDE08A" w14:textId="4682BCD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4D77A503" w14:textId="5B5E8CB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067824E6" w14:textId="346D3E3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066FA81" w14:textId="188A11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E033A62" w14:textId="3C90E0F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</w:tr>
      <w:tr w:rsidR="54A4DE24" w:rsidTr="54A4DE24" w14:paraId="4312737C">
        <w:tc>
          <w:tcPr>
            <w:tcW w:w="1314" w:type="dxa"/>
            <w:tcMar/>
          </w:tcPr>
          <w:p w:rsidR="54A4DE24" w:rsidP="54A4DE24" w:rsidRDefault="54A4DE24" w14:paraId="73778C6C" w14:textId="25EBFCBF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Life Insurance</w:t>
            </w:r>
          </w:p>
        </w:tc>
        <w:tc>
          <w:tcPr>
            <w:tcW w:w="1314" w:type="dxa"/>
            <w:tcMar/>
          </w:tcPr>
          <w:p w:rsidR="54A4DE24" w:rsidP="54A4DE24" w:rsidRDefault="54A4DE24" w14:paraId="73923BFF" w14:textId="2703F8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AWC Basic .15 per thousand of coverage</w:t>
            </w:r>
          </w:p>
        </w:tc>
        <w:tc>
          <w:tcPr>
            <w:tcW w:w="1314" w:type="dxa"/>
            <w:tcMar/>
          </w:tcPr>
          <w:p w:rsidR="54A4DE24" w:rsidP="54A4DE24" w:rsidRDefault="54A4DE24" w14:paraId="06B8F0E8" w14:textId="4D55FE2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9D8279C" w14:textId="29C6F75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4D1793BD" w14:textId="6B56173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7D9CE5B" w14:textId="4BC5A11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665B0C55" w14:textId="7822B7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7351FC7D" w14:textId="362F9A8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</w:tr>
      <w:tr w:rsidR="54A4DE24" w:rsidTr="54A4DE24" w14:paraId="0CC9BB23">
        <w:tc>
          <w:tcPr>
            <w:tcW w:w="1314" w:type="dxa"/>
            <w:tcMar/>
          </w:tcPr>
          <w:p w:rsidR="54A4DE24" w:rsidP="54A4DE24" w:rsidRDefault="54A4DE24" w14:paraId="27100C15" w14:textId="1A10ED6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LTD</w:t>
            </w:r>
          </w:p>
        </w:tc>
        <w:tc>
          <w:tcPr>
            <w:tcW w:w="1314" w:type="dxa"/>
            <w:tcMar/>
          </w:tcPr>
          <w:p w:rsidR="54A4DE24" w:rsidP="54A4DE24" w:rsidRDefault="54A4DE24" w14:paraId="577008A1" w14:textId="7BE680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Highly customizable; rated by risk group</w:t>
            </w:r>
          </w:p>
        </w:tc>
        <w:tc>
          <w:tcPr>
            <w:tcW w:w="1314" w:type="dxa"/>
            <w:tcMar/>
          </w:tcPr>
          <w:p w:rsidR="54A4DE24" w:rsidP="54A4DE24" w:rsidRDefault="54A4DE24" w14:paraId="220D1A65" w14:textId="60BDFBB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4BDE3D68" w14:textId="202746E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CA8FE10" w14:textId="4BBD93C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B4BDF81" w14:textId="777041F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84A17E7" w14:textId="0BEC9C2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422CC58B" w14:textId="748CE65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</w:tr>
      <w:tr w:rsidR="54A4DE24" w:rsidTr="54A4DE24" w14:paraId="2543CFD5">
        <w:tc>
          <w:tcPr>
            <w:tcW w:w="1314" w:type="dxa"/>
            <w:tcMar/>
          </w:tcPr>
          <w:p w:rsidR="54A4DE24" w:rsidP="54A4DE24" w:rsidRDefault="54A4DE24" w14:paraId="76D03FA7" w14:textId="7F0EDC4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082D137D" w14:textId="2F7B46D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0623BBE" w14:textId="03A6E9D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463223E9" w14:textId="0F3EC0F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E189960" w14:textId="76F7E79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3FF93530" w14:textId="6739D91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1BFBED5" w14:textId="645A7BD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42E21D99" w14:textId="0BF08948">
            <w:pPr>
              <w:rPr>
                <w:sz w:val="16"/>
                <w:szCs w:val="16"/>
              </w:rPr>
            </w:pPr>
          </w:p>
        </w:tc>
      </w:tr>
      <w:tr w:rsidR="54A4DE24" w:rsidTr="54A4DE24" w14:paraId="5A0E74E7">
        <w:tc>
          <w:tcPr>
            <w:tcW w:w="1314" w:type="dxa"/>
            <w:tcMar/>
          </w:tcPr>
          <w:p w:rsidR="54A4DE24" w:rsidP="54A4DE24" w:rsidRDefault="54A4DE24" w14:paraId="256AA257" w14:textId="24E4CB3F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Common Benefits Package Scenarios</w:t>
            </w:r>
          </w:p>
        </w:tc>
        <w:tc>
          <w:tcPr>
            <w:tcW w:w="1314" w:type="dxa"/>
            <w:tcMar/>
          </w:tcPr>
          <w:p w:rsidR="54A4DE24" w:rsidP="54A4DE24" w:rsidRDefault="54A4DE24" w14:paraId="76E0650F" w14:textId="2BA87B9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93CABB8" w14:textId="625ADC50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PEPM Cost</w:t>
            </w:r>
          </w:p>
        </w:tc>
        <w:tc>
          <w:tcPr>
            <w:tcW w:w="1314" w:type="dxa"/>
            <w:tcMar/>
          </w:tcPr>
          <w:p w:rsidR="54A4DE24" w:rsidP="54A4DE24" w:rsidRDefault="54A4DE24" w14:paraId="189EE89E" w14:textId="46B38C1B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Family 2.4 Multiplier</w:t>
            </w:r>
          </w:p>
        </w:tc>
        <w:tc>
          <w:tcPr>
            <w:tcW w:w="1314" w:type="dxa"/>
            <w:tcMar/>
          </w:tcPr>
          <w:p w:rsidR="54A4DE24" w:rsidP="54A4DE24" w:rsidRDefault="54A4DE24" w14:paraId="58399EE1" w14:textId="24796E84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Basic Life</w:t>
            </w:r>
          </w:p>
        </w:tc>
        <w:tc>
          <w:tcPr>
            <w:tcW w:w="1314" w:type="dxa"/>
            <w:tcMar/>
          </w:tcPr>
          <w:p w:rsidR="54A4DE24" w:rsidP="54A4DE24" w:rsidRDefault="54A4DE24" w14:paraId="1C129026" w14:textId="5550FA20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AD&amp;D</w:t>
            </w:r>
          </w:p>
        </w:tc>
        <w:tc>
          <w:tcPr>
            <w:tcW w:w="1314" w:type="dxa"/>
            <w:tcMar/>
          </w:tcPr>
          <w:p w:rsidR="54A4DE24" w:rsidP="54A4DE24" w:rsidRDefault="54A4DE24" w14:paraId="61FEDC0E" w14:textId="27085CB0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Est. Total Monthly Costs</w:t>
            </w:r>
          </w:p>
        </w:tc>
        <w:tc>
          <w:tcPr>
            <w:tcW w:w="1314" w:type="dxa"/>
            <w:tcMar/>
          </w:tcPr>
          <w:p w:rsidR="54A4DE24" w:rsidP="54A4DE24" w:rsidRDefault="54A4DE24" w14:paraId="2FB4DD6F" w14:textId="7A651225">
            <w:pPr>
              <w:rPr>
                <w:sz w:val="16"/>
                <w:szCs w:val="16"/>
              </w:rPr>
            </w:pPr>
          </w:p>
        </w:tc>
      </w:tr>
      <w:tr w:rsidR="54A4DE24" w:rsidTr="54A4DE24" w14:paraId="63C8FE39">
        <w:tc>
          <w:tcPr>
            <w:tcW w:w="1314" w:type="dxa"/>
            <w:tcMar/>
          </w:tcPr>
          <w:p w:rsidR="54A4DE24" w:rsidP="54A4DE24" w:rsidRDefault="54A4DE24" w14:paraId="37C32754" w14:textId="28167DC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PPO Package</w:t>
            </w:r>
          </w:p>
        </w:tc>
        <w:tc>
          <w:tcPr>
            <w:tcW w:w="1314" w:type="dxa"/>
            <w:tcMar/>
          </w:tcPr>
          <w:p w:rsidR="54A4DE24" w:rsidP="54A4DE24" w:rsidRDefault="54A4DE24" w14:paraId="59E5C0FF" w14:textId="2A1897C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Regence/VSP/Delta + Ortho</w:t>
            </w:r>
          </w:p>
        </w:tc>
        <w:tc>
          <w:tcPr>
            <w:tcW w:w="1314" w:type="dxa"/>
            <w:tcMar/>
          </w:tcPr>
          <w:p w:rsidR="54A4DE24" w:rsidP="54A4DE24" w:rsidRDefault="54A4DE24" w14:paraId="2FA9ACFA" w14:textId="01314F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817.86</w:t>
            </w:r>
          </w:p>
        </w:tc>
        <w:tc>
          <w:tcPr>
            <w:tcW w:w="1314" w:type="dxa"/>
            <w:tcMar/>
          </w:tcPr>
          <w:p w:rsidR="54A4DE24" w:rsidP="54A4DE24" w:rsidRDefault="54A4DE24" w14:paraId="1F46FACF" w14:textId="55CA5D79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1962.864</w:t>
            </w:r>
          </w:p>
        </w:tc>
        <w:tc>
          <w:tcPr>
            <w:tcW w:w="1314" w:type="dxa"/>
            <w:tcMar/>
          </w:tcPr>
          <w:p w:rsidR="54A4DE24" w:rsidP="54A4DE24" w:rsidRDefault="54A4DE24" w14:paraId="1D0D1DC7" w14:textId="4830144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22.5</w:t>
            </w:r>
          </w:p>
        </w:tc>
        <w:tc>
          <w:tcPr>
            <w:tcW w:w="1314" w:type="dxa"/>
            <w:tcMar/>
          </w:tcPr>
          <w:p w:rsidR="54A4DE24" w:rsidP="54A4DE24" w:rsidRDefault="54A4DE24" w14:paraId="5ED49C37" w14:textId="3353A90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4.21</w:t>
            </w:r>
          </w:p>
        </w:tc>
        <w:tc>
          <w:tcPr>
            <w:tcW w:w="1314" w:type="dxa"/>
            <w:tcMar/>
          </w:tcPr>
          <w:p w:rsidR="54A4DE24" w:rsidP="54A4DE24" w:rsidRDefault="54A4DE24" w14:paraId="7D3B5632" w14:textId="0F19C394">
            <w:pPr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1989.57</w:t>
            </w:r>
          </w:p>
        </w:tc>
        <w:tc>
          <w:tcPr>
            <w:tcW w:w="1314" w:type="dxa"/>
            <w:tcMar/>
          </w:tcPr>
          <w:p w:rsidR="54A4DE24" w:rsidP="54A4DE24" w:rsidRDefault="54A4DE24" w14:paraId="5EDF93BD" w14:textId="044DAE29">
            <w:pPr>
              <w:rPr>
                <w:sz w:val="16"/>
                <w:szCs w:val="16"/>
              </w:rPr>
            </w:pPr>
          </w:p>
        </w:tc>
      </w:tr>
      <w:tr w:rsidR="54A4DE24" w:rsidTr="54A4DE24" w14:paraId="4C1E6EEC">
        <w:tc>
          <w:tcPr>
            <w:tcW w:w="1314" w:type="dxa"/>
            <w:tcMar/>
          </w:tcPr>
          <w:p w:rsidR="54A4DE24" w:rsidP="54A4DE24" w:rsidRDefault="54A4DE24" w14:paraId="6412082B" w14:textId="2968188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HMO Package</w:t>
            </w:r>
          </w:p>
        </w:tc>
        <w:tc>
          <w:tcPr>
            <w:tcW w:w="1314" w:type="dxa"/>
            <w:tcMar/>
          </w:tcPr>
          <w:p w:rsidR="54A4DE24" w:rsidP="54A4DE24" w:rsidRDefault="54A4DE24" w14:paraId="08351302" w14:textId="630A460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Kaiser/VSP/Willamette</w:t>
            </w:r>
          </w:p>
        </w:tc>
        <w:tc>
          <w:tcPr>
            <w:tcW w:w="1314" w:type="dxa"/>
            <w:tcMar/>
          </w:tcPr>
          <w:p w:rsidR="54A4DE24" w:rsidP="54A4DE24" w:rsidRDefault="54A4DE24" w14:paraId="19F804F6" w14:textId="499600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696.22</w:t>
            </w:r>
          </w:p>
        </w:tc>
        <w:tc>
          <w:tcPr>
            <w:tcW w:w="1314" w:type="dxa"/>
            <w:tcMar/>
          </w:tcPr>
          <w:p w:rsidR="54A4DE24" w:rsidP="54A4DE24" w:rsidRDefault="54A4DE24" w14:paraId="46A6DA8B" w14:textId="70A974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1670.928</w:t>
            </w:r>
          </w:p>
        </w:tc>
        <w:tc>
          <w:tcPr>
            <w:tcW w:w="1314" w:type="dxa"/>
            <w:tcMar/>
          </w:tcPr>
          <w:p w:rsidR="54A4DE24" w:rsidP="54A4DE24" w:rsidRDefault="54A4DE24" w14:paraId="7E27F1C5" w14:textId="47786A1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22.5</w:t>
            </w:r>
          </w:p>
        </w:tc>
        <w:tc>
          <w:tcPr>
            <w:tcW w:w="1314" w:type="dxa"/>
            <w:tcMar/>
          </w:tcPr>
          <w:p w:rsidR="54A4DE24" w:rsidP="54A4DE24" w:rsidRDefault="54A4DE24" w14:paraId="091DA4F6" w14:textId="2230864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4.21</w:t>
            </w:r>
          </w:p>
        </w:tc>
        <w:tc>
          <w:tcPr>
            <w:tcW w:w="1314" w:type="dxa"/>
            <w:tcMar/>
          </w:tcPr>
          <w:p w:rsidR="54A4DE24" w:rsidP="54A4DE24" w:rsidRDefault="54A4DE24" w14:paraId="5B61A0A5" w14:textId="761BE9D5">
            <w:pPr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1697.64</w:t>
            </w:r>
          </w:p>
        </w:tc>
        <w:tc>
          <w:tcPr>
            <w:tcW w:w="1314" w:type="dxa"/>
            <w:tcMar/>
          </w:tcPr>
          <w:p w:rsidR="54A4DE24" w:rsidP="54A4DE24" w:rsidRDefault="54A4DE24" w14:paraId="0FDAB53F" w14:textId="310843C6">
            <w:pPr>
              <w:rPr>
                <w:sz w:val="16"/>
                <w:szCs w:val="16"/>
              </w:rPr>
            </w:pPr>
          </w:p>
        </w:tc>
      </w:tr>
      <w:tr w:rsidR="54A4DE24" w:rsidTr="54A4DE24" w14:paraId="314FE23D">
        <w:tc>
          <w:tcPr>
            <w:tcW w:w="1314" w:type="dxa"/>
            <w:tcMar/>
          </w:tcPr>
          <w:p w:rsidR="54A4DE24" w:rsidP="54A4DE24" w:rsidRDefault="54A4DE24" w14:paraId="7EB77F40" w14:textId="07475B2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67B8CDA0" w14:textId="291100F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25752CC" w14:textId="6D1C1943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50A2526" w14:textId="4DB0A76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B939A93" w14:textId="38C0317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3373B280" w14:textId="5CDCBAB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B899E3D" w14:textId="7E2BD97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6215ECF4" w14:textId="2901A45B">
            <w:pPr>
              <w:rPr>
                <w:sz w:val="16"/>
                <w:szCs w:val="16"/>
              </w:rPr>
            </w:pPr>
          </w:p>
        </w:tc>
      </w:tr>
      <w:tr w:rsidR="54A4DE24" w:rsidTr="54A4DE24" w14:paraId="4A5ACF6E">
        <w:tc>
          <w:tcPr>
            <w:tcW w:w="1314" w:type="dxa"/>
            <w:tcMar/>
          </w:tcPr>
          <w:p w:rsidR="54A4DE24" w:rsidP="54A4DE24" w:rsidRDefault="54A4DE24" w14:paraId="02C2EFED" w14:textId="67764F17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Notes</w:t>
            </w:r>
          </w:p>
        </w:tc>
        <w:tc>
          <w:tcPr>
            <w:tcW w:w="1314" w:type="dxa"/>
            <w:tcMar/>
          </w:tcPr>
          <w:p w:rsidR="54A4DE24" w:rsidP="54A4DE24" w:rsidRDefault="54A4DE24" w14:paraId="3B13B14C" w14:textId="3083B3C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DBC40F9" w14:textId="17528BB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3A238834" w14:textId="5D1E26D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514F96C" w14:textId="645F931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FED22E4" w14:textId="1CBEA81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7F509681" w14:textId="2E1E5EE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5BE60DB" w14:textId="74713670">
            <w:pPr>
              <w:rPr>
                <w:sz w:val="16"/>
                <w:szCs w:val="16"/>
              </w:rPr>
            </w:pPr>
          </w:p>
        </w:tc>
      </w:tr>
      <w:tr w:rsidR="54A4DE24" w:rsidTr="54A4DE24" w14:paraId="0ADCA3E4">
        <w:tc>
          <w:tcPr>
            <w:tcW w:w="10512" w:type="dxa"/>
            <w:gridSpan w:val="8"/>
            <w:tcMar/>
          </w:tcPr>
          <w:p w:rsidR="54A4DE24" w:rsidP="54A4DE24" w:rsidRDefault="54A4DE24" w14:paraId="0FB85903" w14:textId="14DDCD0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Plans were selected based on similarity to City of Seattle or King County Benefits.  If a less expensive plan option in that category is available, that is stated in Column H.</w:t>
            </w:r>
          </w:p>
        </w:tc>
      </w:tr>
      <w:tr w:rsidR="54A4DE24" w:rsidTr="54A4DE24" w14:paraId="00740582">
        <w:tc>
          <w:tcPr>
            <w:tcW w:w="10512" w:type="dxa"/>
            <w:gridSpan w:val="8"/>
            <w:tcMar/>
          </w:tcPr>
          <w:p w:rsidR="54A4DE24" w:rsidP="54A4DE24" w:rsidRDefault="54A4DE24" w14:paraId="08C88321" w14:textId="257D451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Basic Life is calculated per $150k annual salary. Rate is .15 per thousand of coverage</w:t>
            </w:r>
          </w:p>
        </w:tc>
      </w:tr>
      <w:tr w:rsidR="54A4DE24" w:rsidTr="54A4DE24" w14:paraId="3C6A746E">
        <w:tc>
          <w:tcPr>
            <w:tcW w:w="10512" w:type="dxa"/>
            <w:gridSpan w:val="8"/>
            <w:tcMar/>
          </w:tcPr>
          <w:p w:rsidR="54A4DE24" w:rsidP="54A4DE24" w:rsidRDefault="54A4DE24" w14:paraId="6C02B45D" w14:textId="489B40A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AD&amp;D is calculated per $150k annual salary. Rate is .404% of monthly payroll. Benefit is highly customizable</w:t>
            </w:r>
          </w:p>
        </w:tc>
      </w:tr>
    </w:tbl>
    <w:p w:rsidR="54A4DE24" w:rsidP="54A4DE24" w:rsidRDefault="54A4DE24" w14:paraId="291991CF" w14:textId="4A37162B">
      <w:pPr>
        <w:pStyle w:val="ListParagraph"/>
        <w:spacing w:before="0" w:after="0" w:line="240" w:lineRule="auto"/>
        <w:ind w:left="540"/>
      </w:pPr>
    </w:p>
    <w:p w:rsidR="54A4DE24" w:rsidP="54A4DE24" w:rsidRDefault="54A4DE24" w14:paraId="38C27DA2" w14:textId="16DDDE66">
      <w:pPr>
        <w:pStyle w:val="ListParagraph"/>
        <w:spacing w:before="0" w:after="0" w:line="240" w:lineRule="auto"/>
        <w:ind w:left="540"/>
      </w:pPr>
    </w:p>
    <w:p w:rsidR="54A4DE24" w:rsidP="54A4DE24" w:rsidRDefault="54A4DE24" w14:paraId="2606DDA1" w14:textId="5CCA853C">
      <w:pPr>
        <w:pStyle w:val="ListParagraph"/>
        <w:spacing w:before="0" w:after="0" w:line="240" w:lineRule="auto"/>
        <w:ind w:left="540"/>
      </w:pPr>
    </w:p>
    <w:p w:rsidR="54A4DE24" w:rsidP="54A4DE24" w:rsidRDefault="54A4DE24" w14:paraId="1646FF16" w14:textId="47CABBDE">
      <w:pPr>
        <w:pStyle w:val="ListParagraph"/>
        <w:spacing w:before="0" w:after="0" w:line="240" w:lineRule="auto"/>
        <w:ind w:left="540"/>
      </w:pPr>
    </w:p>
    <w:p w:rsidR="54A4DE24" w:rsidP="54A4DE24" w:rsidRDefault="54A4DE24" w14:paraId="561B9818" w14:textId="18F05D82">
      <w:pPr>
        <w:pStyle w:val="ListParagraph"/>
        <w:spacing w:before="0" w:after="0" w:line="240" w:lineRule="auto"/>
        <w:ind w:left="540"/>
      </w:pPr>
    </w:p>
    <w:p w:rsidR="54A4DE24" w:rsidP="54A4DE24" w:rsidRDefault="54A4DE24" w14:paraId="10A48704" w14:textId="7E47F292">
      <w:pPr>
        <w:pStyle w:val="ListParagraph"/>
        <w:spacing w:before="0" w:after="0" w:line="240" w:lineRule="auto"/>
        <w:ind w:left="540"/>
      </w:pPr>
    </w:p>
    <w:p w:rsidR="54A4DE24" w:rsidP="54A4DE24" w:rsidRDefault="54A4DE24" w14:paraId="7CD7AD87" w14:textId="48023860">
      <w:pPr>
        <w:pStyle w:val="ListParagraph"/>
        <w:spacing w:before="0" w:after="0" w:line="240" w:lineRule="auto"/>
        <w:ind w:left="540"/>
      </w:pPr>
    </w:p>
    <w:p w:rsidR="54A4DE24" w:rsidP="54A4DE24" w:rsidRDefault="54A4DE24" w14:paraId="350581BA" w14:textId="4F66D4CB">
      <w:pPr>
        <w:pStyle w:val="ListParagraph"/>
        <w:spacing w:before="0" w:after="0" w:line="240" w:lineRule="auto"/>
        <w:ind w:left="540"/>
      </w:pPr>
    </w:p>
    <w:p w:rsidR="54A4DE24" w:rsidP="54A4DE24" w:rsidRDefault="54A4DE24" w14:paraId="6DC1E252" w14:textId="5817D61E">
      <w:pPr>
        <w:pStyle w:val="ListParagraph"/>
        <w:spacing w:before="0" w:after="0" w:line="240" w:lineRule="auto"/>
        <w:ind w:left="540"/>
      </w:pPr>
    </w:p>
    <w:p w:rsidR="54A4DE24" w:rsidP="54A4DE24" w:rsidRDefault="54A4DE24" w14:paraId="34ACFCC9" w14:textId="1EF96AD3">
      <w:pPr>
        <w:pStyle w:val="ListParagraph"/>
        <w:spacing w:before="0" w:after="0" w:line="240" w:lineRule="auto"/>
        <w:ind w:left="540"/>
      </w:pPr>
    </w:p>
    <w:p w:rsidR="54A4DE24" w:rsidP="54A4DE24" w:rsidRDefault="54A4DE24" w14:paraId="23B9775E" w14:textId="7B56846D">
      <w:pPr>
        <w:pStyle w:val="ListParagraph"/>
        <w:spacing w:before="0" w:after="0" w:line="240" w:lineRule="auto"/>
        <w:ind w:left="540"/>
      </w:pPr>
    </w:p>
    <w:p w:rsidR="54A4DE24" w:rsidP="54A4DE24" w:rsidRDefault="54A4DE24" w14:paraId="66C691BD" w14:textId="42C1A1E4">
      <w:pPr>
        <w:pStyle w:val="ListParagraph"/>
        <w:spacing w:before="0" w:after="0" w:line="240" w:lineRule="auto"/>
        <w:ind w:left="540"/>
      </w:pPr>
    </w:p>
    <w:p w:rsidR="54A4DE24" w:rsidP="54A4DE24" w:rsidRDefault="54A4DE24" w14:paraId="6074722D" w14:textId="5EBAE5A1">
      <w:pPr>
        <w:pStyle w:val="ListParagraph"/>
        <w:spacing w:before="0" w:after="0" w:line="240" w:lineRule="auto"/>
        <w:ind w:left="540"/>
      </w:pPr>
    </w:p>
    <w:p w:rsidR="54A4DE24" w:rsidP="54A4DE24" w:rsidRDefault="54A4DE24" w14:paraId="0623D028" w14:textId="00253C79">
      <w:pPr>
        <w:pStyle w:val="ListParagraph"/>
        <w:spacing w:before="0" w:after="0" w:line="240" w:lineRule="auto"/>
        <w:ind w:left="540"/>
      </w:pPr>
    </w:p>
    <w:p w:rsidR="54A4DE24" w:rsidP="54A4DE24" w:rsidRDefault="54A4DE24" w14:paraId="0D981647" w14:textId="276FA7EC">
      <w:pPr>
        <w:pStyle w:val="ListParagraph"/>
        <w:spacing w:before="0" w:after="0" w:line="240" w:lineRule="auto"/>
        <w:ind w:left="540"/>
      </w:pPr>
    </w:p>
    <w:p w:rsidR="54A4DE24" w:rsidP="54A4DE24" w:rsidRDefault="54A4DE24" w14:paraId="26B9995F" w14:textId="33637F80">
      <w:pPr>
        <w:pStyle w:val="ListParagraph"/>
        <w:spacing w:before="0" w:after="0" w:line="240" w:lineRule="auto"/>
        <w:ind w:left="54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14"/>
        <w:gridCol w:w="1314"/>
        <w:gridCol w:w="1314"/>
        <w:gridCol w:w="1314"/>
        <w:gridCol w:w="1314"/>
        <w:gridCol w:w="1314"/>
        <w:gridCol w:w="1314"/>
      </w:tblGrid>
      <w:tr w:rsidR="54A4DE24" w:rsidTr="54A4DE24" w14:paraId="056E3E84">
        <w:tc>
          <w:tcPr>
            <w:tcW w:w="9198" w:type="dxa"/>
            <w:gridSpan w:val="7"/>
            <w:tcMar/>
          </w:tcPr>
          <w:p w:rsidR="54A4DE24" w:rsidP="54A4DE24" w:rsidRDefault="54A4DE24" w14:paraId="6945884A" w14:textId="1F70FA9C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PEBB Monthly Rates for Selected Plans (no Employer contribution applied)</w:t>
            </w:r>
          </w:p>
        </w:tc>
      </w:tr>
      <w:tr w:rsidR="54A4DE24" w:rsidTr="54A4DE24" w14:paraId="5C23735B">
        <w:tc>
          <w:tcPr>
            <w:tcW w:w="1314" w:type="dxa"/>
            <w:tcMar/>
          </w:tcPr>
          <w:p w:rsidR="54A4DE24" w:rsidP="54A4DE24" w:rsidRDefault="54A4DE24" w14:paraId="15F01E0E" w14:textId="4ED9559B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Benefit</w:t>
            </w:r>
          </w:p>
        </w:tc>
        <w:tc>
          <w:tcPr>
            <w:tcW w:w="1314" w:type="dxa"/>
            <w:tcMar/>
          </w:tcPr>
          <w:p w:rsidR="54A4DE24" w:rsidP="54A4DE24" w:rsidRDefault="54A4DE24" w14:paraId="74D41016" w14:textId="7C313D72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Plan</w:t>
            </w:r>
          </w:p>
        </w:tc>
        <w:tc>
          <w:tcPr>
            <w:tcW w:w="1314" w:type="dxa"/>
            <w:tcMar/>
          </w:tcPr>
          <w:p w:rsidR="54A4DE24" w:rsidP="54A4DE24" w:rsidRDefault="54A4DE24" w14:paraId="29E01E59" w14:textId="0CC8B0FF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Per Employee (subscriber)</w:t>
            </w:r>
          </w:p>
        </w:tc>
        <w:tc>
          <w:tcPr>
            <w:tcW w:w="1314" w:type="dxa"/>
            <w:tcMar/>
          </w:tcPr>
          <w:p w:rsidR="54A4DE24" w:rsidP="54A4DE24" w:rsidRDefault="54A4DE24" w14:paraId="5F0651EA" w14:textId="36448E2A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Employee + Spouse</w:t>
            </w:r>
          </w:p>
        </w:tc>
        <w:tc>
          <w:tcPr>
            <w:tcW w:w="1314" w:type="dxa"/>
            <w:tcMar/>
          </w:tcPr>
          <w:p w:rsidR="54A4DE24" w:rsidP="54A4DE24" w:rsidRDefault="54A4DE24" w14:paraId="702EC99B" w14:textId="62201400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Employee + Child(ren)</w:t>
            </w:r>
          </w:p>
        </w:tc>
        <w:tc>
          <w:tcPr>
            <w:tcW w:w="1314" w:type="dxa"/>
            <w:tcMar/>
          </w:tcPr>
          <w:p w:rsidR="54A4DE24" w:rsidP="54A4DE24" w:rsidRDefault="54A4DE24" w14:paraId="41146ACC" w14:textId="195C2F44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Employee, Spouse, Children</w:t>
            </w:r>
          </w:p>
        </w:tc>
        <w:tc>
          <w:tcPr>
            <w:tcW w:w="1314" w:type="dxa"/>
            <w:tcMar/>
          </w:tcPr>
          <w:p w:rsidR="54A4DE24" w:rsidP="54A4DE24" w:rsidRDefault="54A4DE24" w14:paraId="19F43C9B" w14:textId="1D3E7E0C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Less expensive plan option available?</w:t>
            </w:r>
          </w:p>
        </w:tc>
      </w:tr>
      <w:tr w:rsidR="54A4DE24" w:rsidTr="54A4DE24" w14:paraId="37D303DD">
        <w:tc>
          <w:tcPr>
            <w:tcW w:w="1314" w:type="dxa"/>
            <w:tcMar/>
          </w:tcPr>
          <w:p w:rsidR="54A4DE24" w:rsidP="54A4DE24" w:rsidRDefault="54A4DE24" w14:paraId="21E014F7" w14:textId="208A29BC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Medical HMO</w:t>
            </w:r>
          </w:p>
        </w:tc>
        <w:tc>
          <w:tcPr>
            <w:tcW w:w="1314" w:type="dxa"/>
            <w:tcMar/>
          </w:tcPr>
          <w:p w:rsidR="54A4DE24" w:rsidP="54A4DE24" w:rsidRDefault="54A4DE24" w14:paraId="3459584F" w14:textId="7243F8B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Kaiser Permanente WA Classic</w:t>
            </w:r>
          </w:p>
        </w:tc>
        <w:tc>
          <w:tcPr>
            <w:tcW w:w="1314" w:type="dxa"/>
            <w:tcMar/>
          </w:tcPr>
          <w:p w:rsidR="54A4DE24" w:rsidP="54A4DE24" w:rsidRDefault="54A4DE24" w14:paraId="2019E9B0" w14:textId="0DDD9FF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913.45</w:t>
            </w:r>
          </w:p>
        </w:tc>
        <w:tc>
          <w:tcPr>
            <w:tcW w:w="1314" w:type="dxa"/>
            <w:tcMar/>
          </w:tcPr>
          <w:p w:rsidR="54A4DE24" w:rsidP="54A4DE24" w:rsidRDefault="54A4DE24" w14:paraId="133501D3" w14:textId="2B4831E9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1672.54</w:t>
            </w:r>
          </w:p>
        </w:tc>
        <w:tc>
          <w:tcPr>
            <w:tcW w:w="1314" w:type="dxa"/>
            <w:tcMar/>
          </w:tcPr>
          <w:p w:rsidR="54A4DE24" w:rsidP="54A4DE24" w:rsidRDefault="54A4DE24" w14:paraId="15EF2FAF" w14:textId="1FBF571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1482.77</w:t>
            </w:r>
          </w:p>
        </w:tc>
        <w:tc>
          <w:tcPr>
            <w:tcW w:w="1314" w:type="dxa"/>
            <w:tcMar/>
          </w:tcPr>
          <w:p w:rsidR="54A4DE24" w:rsidP="54A4DE24" w:rsidRDefault="54A4DE24" w14:paraId="3E8E26EA" w14:textId="4E74DFC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2241.85</w:t>
            </w:r>
          </w:p>
        </w:tc>
        <w:tc>
          <w:tcPr>
            <w:tcW w:w="1314" w:type="dxa"/>
            <w:tcMar/>
          </w:tcPr>
          <w:p w:rsidR="54A4DE24" w:rsidP="54A4DE24" w:rsidRDefault="54A4DE24" w14:paraId="387CD518" w14:textId="70EF761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HDHP only</w:t>
            </w:r>
          </w:p>
        </w:tc>
      </w:tr>
      <w:tr w:rsidR="54A4DE24" w:rsidTr="54A4DE24" w14:paraId="191544E6">
        <w:tc>
          <w:tcPr>
            <w:tcW w:w="1314" w:type="dxa"/>
            <w:tcMar/>
          </w:tcPr>
          <w:p w:rsidR="54A4DE24" w:rsidP="54A4DE24" w:rsidRDefault="54A4DE24" w14:paraId="49950362" w14:textId="50E86E7D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Medical PPO</w:t>
            </w:r>
          </w:p>
        </w:tc>
        <w:tc>
          <w:tcPr>
            <w:tcW w:w="1314" w:type="dxa"/>
            <w:tcMar/>
          </w:tcPr>
          <w:p w:rsidR="54A4DE24" w:rsidP="54A4DE24" w:rsidRDefault="54A4DE24" w14:paraId="54006C0D" w14:textId="67114EA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UMP Classic (Regence)</w:t>
            </w:r>
          </w:p>
        </w:tc>
        <w:tc>
          <w:tcPr>
            <w:tcW w:w="1314" w:type="dxa"/>
            <w:tcMar/>
          </w:tcPr>
          <w:p w:rsidR="54A4DE24" w:rsidP="54A4DE24" w:rsidRDefault="54A4DE24" w14:paraId="6E58396F" w14:textId="596A0F4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841.02</w:t>
            </w:r>
          </w:p>
        </w:tc>
        <w:tc>
          <w:tcPr>
            <w:tcW w:w="1314" w:type="dxa"/>
            <w:tcMar/>
          </w:tcPr>
          <w:p w:rsidR="54A4DE24" w:rsidP="54A4DE24" w:rsidRDefault="54A4DE24" w14:paraId="3DE3497E" w14:textId="40C9231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1527.67</w:t>
            </w:r>
          </w:p>
        </w:tc>
        <w:tc>
          <w:tcPr>
            <w:tcW w:w="1314" w:type="dxa"/>
            <w:tcMar/>
          </w:tcPr>
          <w:p w:rsidR="54A4DE24" w:rsidP="54A4DE24" w:rsidRDefault="54A4DE24" w14:paraId="3D01D16E" w14:textId="763EE25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1356.01</w:t>
            </w:r>
          </w:p>
        </w:tc>
        <w:tc>
          <w:tcPr>
            <w:tcW w:w="1314" w:type="dxa"/>
            <w:tcMar/>
          </w:tcPr>
          <w:p w:rsidR="54A4DE24" w:rsidP="54A4DE24" w:rsidRDefault="54A4DE24" w14:paraId="2CFF1FC6" w14:textId="7178685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2042.67</w:t>
            </w:r>
          </w:p>
        </w:tc>
        <w:tc>
          <w:tcPr>
            <w:tcW w:w="1314" w:type="dxa"/>
            <w:tcMar/>
          </w:tcPr>
          <w:p w:rsidR="54A4DE24" w:rsidP="54A4DE24" w:rsidRDefault="54A4DE24" w14:paraId="4D15FF04" w14:textId="1EBA222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HDHP &amp; Limited network</w:t>
            </w:r>
          </w:p>
        </w:tc>
      </w:tr>
      <w:tr w:rsidR="54A4DE24" w:rsidTr="54A4DE24" w14:paraId="6C106C85">
        <w:tc>
          <w:tcPr>
            <w:tcW w:w="1314" w:type="dxa"/>
            <w:tcMar/>
          </w:tcPr>
          <w:p w:rsidR="54A4DE24" w:rsidP="54A4DE24" w:rsidRDefault="54A4DE24" w14:paraId="446BC479" w14:textId="35FCAE94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Dental PPO</w:t>
            </w:r>
          </w:p>
        </w:tc>
        <w:tc>
          <w:tcPr>
            <w:tcW w:w="1314" w:type="dxa"/>
            <w:tcMar/>
          </w:tcPr>
          <w:p w:rsidR="54A4DE24" w:rsidP="54A4DE24" w:rsidRDefault="54A4DE24" w14:paraId="033DCA62" w14:textId="5CC869D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Uniform Dental Plan (Delta)</w:t>
            </w:r>
          </w:p>
        </w:tc>
        <w:tc>
          <w:tcPr>
            <w:tcW w:w="1314" w:type="dxa"/>
            <w:tcMar/>
          </w:tcPr>
          <w:p w:rsidR="54A4DE24" w:rsidP="54A4DE24" w:rsidRDefault="54A4DE24" w14:paraId="02454D98" w14:textId="18B3F3E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14A4E43" w14:textId="6AA3C1E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7738CA2B" w14:textId="5791260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30FC113D" w14:textId="2A5D08B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0333954" w14:textId="0EF848E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</w:tr>
      <w:tr w:rsidR="54A4DE24" w:rsidTr="54A4DE24" w14:paraId="5BD6FC5D">
        <w:tc>
          <w:tcPr>
            <w:tcW w:w="1314" w:type="dxa"/>
            <w:tcMar/>
          </w:tcPr>
          <w:p w:rsidR="54A4DE24" w:rsidP="54A4DE24" w:rsidRDefault="54A4DE24" w14:paraId="0515F3C7" w14:textId="3700712F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Ortho</w:t>
            </w:r>
          </w:p>
        </w:tc>
        <w:tc>
          <w:tcPr>
            <w:tcW w:w="1314" w:type="dxa"/>
            <w:tcMar/>
          </w:tcPr>
          <w:p w:rsidR="54A4DE24" w:rsidP="54A4DE24" w:rsidRDefault="54A4DE24" w14:paraId="61B1FA26" w14:textId="6E695E59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Included in all dental plans</w:t>
            </w:r>
          </w:p>
        </w:tc>
        <w:tc>
          <w:tcPr>
            <w:tcW w:w="1314" w:type="dxa"/>
            <w:tcMar/>
          </w:tcPr>
          <w:p w:rsidR="54A4DE24" w:rsidP="54A4DE24" w:rsidRDefault="54A4DE24" w14:paraId="2A106F3E" w14:textId="058D70F9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8180C84" w14:textId="01066E0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4726E422" w14:textId="46D8E01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7CB3C27A" w14:textId="08F77B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568C69BF" w14:textId="3E1DD1F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</w:tr>
      <w:tr w:rsidR="54A4DE24" w:rsidTr="54A4DE24" w14:paraId="6D8D0DB4">
        <w:tc>
          <w:tcPr>
            <w:tcW w:w="1314" w:type="dxa"/>
            <w:tcMar/>
          </w:tcPr>
          <w:p w:rsidR="54A4DE24" w:rsidP="54A4DE24" w:rsidRDefault="54A4DE24" w14:paraId="11F07627" w14:textId="18690B8D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Dental MCO</w:t>
            </w:r>
          </w:p>
        </w:tc>
        <w:tc>
          <w:tcPr>
            <w:tcW w:w="1314" w:type="dxa"/>
            <w:tcMar/>
          </w:tcPr>
          <w:p w:rsidR="54A4DE24" w:rsidP="54A4DE24" w:rsidRDefault="54A4DE24" w14:paraId="72CF04E7" w14:textId="146366A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Willamette Dental</w:t>
            </w:r>
          </w:p>
        </w:tc>
        <w:tc>
          <w:tcPr>
            <w:tcW w:w="1314" w:type="dxa"/>
            <w:tcMar/>
          </w:tcPr>
          <w:p w:rsidR="54A4DE24" w:rsidP="54A4DE24" w:rsidRDefault="54A4DE24" w14:paraId="11B2626D" w14:textId="33BFEE1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0D8CA9C0" w14:textId="6EB0A2C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4730A3D3" w14:textId="4EDAF3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4FD71430" w14:textId="18FDA53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FB20C25" w14:textId="24ACFDD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</w:tr>
      <w:tr w:rsidR="54A4DE24" w:rsidTr="54A4DE24" w14:paraId="68AE54BE">
        <w:tc>
          <w:tcPr>
            <w:tcW w:w="1314" w:type="dxa"/>
            <w:tcMar/>
          </w:tcPr>
          <w:p w:rsidR="54A4DE24" w:rsidP="54A4DE24" w:rsidRDefault="54A4DE24" w14:paraId="485B831C" w14:textId="78B0E69D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Vision</w:t>
            </w:r>
          </w:p>
        </w:tc>
        <w:tc>
          <w:tcPr>
            <w:tcW w:w="1314" w:type="dxa"/>
            <w:tcMar/>
          </w:tcPr>
          <w:p w:rsidR="54A4DE24" w:rsidP="54A4DE24" w:rsidRDefault="54A4DE24" w14:paraId="0769D5C9" w14:textId="6DCC1C7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Included in all medical plans</w:t>
            </w:r>
          </w:p>
        </w:tc>
        <w:tc>
          <w:tcPr>
            <w:tcW w:w="1314" w:type="dxa"/>
            <w:tcMar/>
          </w:tcPr>
          <w:p w:rsidR="54A4DE24" w:rsidP="54A4DE24" w:rsidRDefault="54A4DE24" w14:paraId="3A043E16" w14:textId="5B16FCC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03B5BE98" w14:textId="338695A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1CA33F6" w14:textId="016B671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532DA77D" w14:textId="6365EF85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33DC52B7" w14:textId="1AA7DD5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</w:tr>
      <w:tr w:rsidR="54A4DE24" w:rsidTr="54A4DE24" w14:paraId="2D74C951">
        <w:tc>
          <w:tcPr>
            <w:tcW w:w="1314" w:type="dxa"/>
            <w:tcMar/>
          </w:tcPr>
          <w:p w:rsidR="54A4DE24" w:rsidP="54A4DE24" w:rsidRDefault="54A4DE24" w14:paraId="4CCA0A57" w14:textId="6B1614C5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EAP</w:t>
            </w:r>
          </w:p>
        </w:tc>
        <w:tc>
          <w:tcPr>
            <w:tcW w:w="1314" w:type="dxa"/>
            <w:tcMar/>
          </w:tcPr>
          <w:p w:rsidR="54A4DE24" w:rsidP="54A4DE24" w:rsidRDefault="54A4DE24" w14:paraId="0B29FC24" w14:textId="0E00D4FA">
            <w:pPr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Not available from PEBB</w:t>
            </w:r>
          </w:p>
        </w:tc>
        <w:tc>
          <w:tcPr>
            <w:tcW w:w="1314" w:type="dxa"/>
            <w:tcMar/>
          </w:tcPr>
          <w:p w:rsidR="54A4DE24" w:rsidP="54A4DE24" w:rsidRDefault="54A4DE24" w14:paraId="7389E68E" w14:textId="035BE87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  <w:tc>
          <w:tcPr>
            <w:tcW w:w="1314" w:type="dxa"/>
            <w:tcMar/>
          </w:tcPr>
          <w:p w:rsidR="54A4DE24" w:rsidP="54A4DE24" w:rsidRDefault="54A4DE24" w14:paraId="065A2DF5" w14:textId="770D8C1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  <w:tc>
          <w:tcPr>
            <w:tcW w:w="1314" w:type="dxa"/>
            <w:tcMar/>
          </w:tcPr>
          <w:p w:rsidR="54A4DE24" w:rsidP="54A4DE24" w:rsidRDefault="54A4DE24" w14:paraId="68E6F4CD" w14:textId="07F638D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  <w:tc>
          <w:tcPr>
            <w:tcW w:w="1314" w:type="dxa"/>
            <w:tcMar/>
          </w:tcPr>
          <w:p w:rsidR="54A4DE24" w:rsidP="54A4DE24" w:rsidRDefault="54A4DE24" w14:paraId="6954A476" w14:textId="158AD5A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  <w:tc>
          <w:tcPr>
            <w:tcW w:w="1314" w:type="dxa"/>
            <w:tcMar/>
          </w:tcPr>
          <w:p w:rsidR="54A4DE24" w:rsidP="54A4DE24" w:rsidRDefault="54A4DE24" w14:paraId="52F93A02" w14:textId="5285072F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N/A</w:t>
            </w:r>
          </w:p>
        </w:tc>
      </w:tr>
      <w:tr w:rsidR="54A4DE24" w:rsidTr="54A4DE24" w14:paraId="65A2A841">
        <w:tc>
          <w:tcPr>
            <w:tcW w:w="1314" w:type="dxa"/>
            <w:tcMar/>
          </w:tcPr>
          <w:p w:rsidR="54A4DE24" w:rsidP="54A4DE24" w:rsidRDefault="54A4DE24" w14:paraId="04C5B6C5" w14:textId="4F04EFD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Life Insurance</w:t>
            </w:r>
          </w:p>
        </w:tc>
        <w:tc>
          <w:tcPr>
            <w:tcW w:w="1314" w:type="dxa"/>
            <w:tcMar/>
          </w:tcPr>
          <w:p w:rsidR="54A4DE24" w:rsidP="54A4DE24" w:rsidRDefault="54A4DE24" w14:paraId="23EBA4EF" w14:textId="5F21116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$35,000 Basic Life Insurance</w:t>
            </w:r>
          </w:p>
        </w:tc>
        <w:tc>
          <w:tcPr>
            <w:tcW w:w="1314" w:type="dxa"/>
            <w:tcMar/>
          </w:tcPr>
          <w:p w:rsidR="54A4DE24" w:rsidP="54A4DE24" w:rsidRDefault="54A4DE24" w14:paraId="3F119797" w14:textId="0DED021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321F22D" w14:textId="1F598EF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116661C9" w14:textId="11FCC5A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088F9A52" w14:textId="349CBB6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1279B48F" w14:textId="3BA96E4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See notes</w:t>
            </w:r>
          </w:p>
        </w:tc>
      </w:tr>
      <w:tr w:rsidR="54A4DE24" w:rsidTr="54A4DE24" w14:paraId="73802D76">
        <w:tc>
          <w:tcPr>
            <w:tcW w:w="1314" w:type="dxa"/>
            <w:tcMar/>
          </w:tcPr>
          <w:p w:rsidR="54A4DE24" w:rsidP="54A4DE24" w:rsidRDefault="54A4DE24" w14:paraId="4FE72504" w14:textId="5BB432C7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LTD</w:t>
            </w:r>
          </w:p>
        </w:tc>
        <w:tc>
          <w:tcPr>
            <w:tcW w:w="1314" w:type="dxa"/>
            <w:tcMar/>
          </w:tcPr>
          <w:p w:rsidR="54A4DE24" w:rsidP="54A4DE24" w:rsidRDefault="54A4DE24" w14:paraId="013D0E6C" w14:textId="6904915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 xml:space="preserve">60% of the first $400 </w:t>
            </w:r>
            <w:proofErr w:type="spellStart"/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montly</w:t>
            </w:r>
            <w:proofErr w:type="spellEnd"/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 xml:space="preserve"> pay</w:t>
            </w:r>
          </w:p>
        </w:tc>
        <w:tc>
          <w:tcPr>
            <w:tcW w:w="1314" w:type="dxa"/>
            <w:tcMar/>
          </w:tcPr>
          <w:p w:rsidR="54A4DE24" w:rsidP="54A4DE24" w:rsidRDefault="54A4DE24" w14:paraId="626EBF5C" w14:textId="4B59F1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FAEF255" w14:textId="6EE3305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7B84D93" w14:textId="5A3E4A3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320DF1EE" w14:textId="06AB1B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2436EBF1" w14:textId="785C579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See notes</w:t>
            </w:r>
          </w:p>
        </w:tc>
      </w:tr>
      <w:tr w:rsidR="54A4DE24" w:rsidTr="54A4DE24" w14:paraId="73734B46">
        <w:tc>
          <w:tcPr>
            <w:tcW w:w="1314" w:type="dxa"/>
            <w:tcMar/>
          </w:tcPr>
          <w:p w:rsidR="54A4DE24" w:rsidP="54A4DE24" w:rsidRDefault="54A4DE24" w14:paraId="5F6E7F7A" w14:textId="4F5D33F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37D4617B" w14:textId="1E09D6D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79FD0489" w14:textId="691B296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43ACB7F" w14:textId="4D31843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DF02ED0" w14:textId="4A5EBED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57CDE28" w14:textId="3EC82EC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6423E50" w14:textId="4E2787AF">
            <w:pPr>
              <w:rPr>
                <w:sz w:val="16"/>
                <w:szCs w:val="16"/>
              </w:rPr>
            </w:pPr>
          </w:p>
        </w:tc>
      </w:tr>
      <w:tr w:rsidR="54A4DE24" w:rsidTr="54A4DE24" w14:paraId="001E715F">
        <w:tc>
          <w:tcPr>
            <w:tcW w:w="1314" w:type="dxa"/>
            <w:tcMar/>
          </w:tcPr>
          <w:p w:rsidR="54A4DE24" w:rsidP="54A4DE24" w:rsidRDefault="54A4DE24" w14:paraId="148A9249" w14:textId="650D7C4D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Common Benefits Package Scenarios</w:t>
            </w:r>
          </w:p>
        </w:tc>
        <w:tc>
          <w:tcPr>
            <w:tcW w:w="1314" w:type="dxa"/>
            <w:tcMar/>
          </w:tcPr>
          <w:p w:rsidR="54A4DE24" w:rsidP="54A4DE24" w:rsidRDefault="54A4DE24" w14:paraId="36E5C9F6" w14:textId="383BDBE6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69CD09B5" w14:textId="3C468ABF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PEPM Cost</w:t>
            </w:r>
          </w:p>
        </w:tc>
        <w:tc>
          <w:tcPr>
            <w:tcW w:w="1314" w:type="dxa"/>
            <w:tcMar/>
          </w:tcPr>
          <w:p w:rsidR="54A4DE24" w:rsidP="54A4DE24" w:rsidRDefault="54A4DE24" w14:paraId="2D3E57F1" w14:textId="3A9FE523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Family 2.4 Multiplier</w:t>
            </w:r>
          </w:p>
        </w:tc>
        <w:tc>
          <w:tcPr>
            <w:tcW w:w="1314" w:type="dxa"/>
            <w:tcMar/>
          </w:tcPr>
          <w:p w:rsidR="54A4DE24" w:rsidP="54A4DE24" w:rsidRDefault="54A4DE24" w14:paraId="62C2E85E" w14:textId="25A976E0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Basic Life</w:t>
            </w:r>
          </w:p>
        </w:tc>
        <w:tc>
          <w:tcPr>
            <w:tcW w:w="1314" w:type="dxa"/>
            <w:tcMar/>
          </w:tcPr>
          <w:p w:rsidR="54A4DE24" w:rsidP="54A4DE24" w:rsidRDefault="54A4DE24" w14:paraId="64E606A8" w14:textId="1B8025A5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AD&amp;D</w:t>
            </w:r>
          </w:p>
        </w:tc>
        <w:tc>
          <w:tcPr>
            <w:tcW w:w="1314" w:type="dxa"/>
            <w:tcMar/>
          </w:tcPr>
          <w:p w:rsidR="54A4DE24" w:rsidP="54A4DE24" w:rsidRDefault="54A4DE24" w14:paraId="370CC1FE" w14:textId="0F91D5EA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Est. Total Monthly Costs</w:t>
            </w:r>
          </w:p>
        </w:tc>
      </w:tr>
      <w:tr w:rsidR="54A4DE24" w:rsidTr="54A4DE24" w14:paraId="0AC972F4">
        <w:tc>
          <w:tcPr>
            <w:tcW w:w="1314" w:type="dxa"/>
            <w:tcMar/>
          </w:tcPr>
          <w:p w:rsidR="54A4DE24" w:rsidP="54A4DE24" w:rsidRDefault="54A4DE24" w14:paraId="3B6DF31A" w14:textId="27BC6F3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PPO Package</w:t>
            </w:r>
          </w:p>
        </w:tc>
        <w:tc>
          <w:tcPr>
            <w:tcW w:w="1314" w:type="dxa"/>
            <w:tcMar/>
          </w:tcPr>
          <w:p w:rsidR="54A4DE24" w:rsidP="54A4DE24" w:rsidRDefault="54A4DE24" w14:paraId="43CC20BF" w14:textId="6C8729C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 xml:space="preserve">UMP </w:t>
            </w:r>
            <w:proofErr w:type="spellStart"/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Clasic</w:t>
            </w:r>
            <w:proofErr w:type="spellEnd"/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 xml:space="preserve"> + Delta Dental</w:t>
            </w:r>
          </w:p>
        </w:tc>
        <w:tc>
          <w:tcPr>
            <w:tcW w:w="1314" w:type="dxa"/>
            <w:tcMar/>
          </w:tcPr>
          <w:p w:rsidR="54A4DE24" w:rsidP="54A4DE24" w:rsidRDefault="54A4DE24" w14:paraId="5231393E" w14:textId="7F1E2C4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841.02</w:t>
            </w:r>
          </w:p>
        </w:tc>
        <w:tc>
          <w:tcPr>
            <w:tcW w:w="1314" w:type="dxa"/>
            <w:tcMar/>
          </w:tcPr>
          <w:p w:rsidR="54A4DE24" w:rsidP="54A4DE24" w:rsidRDefault="54A4DE24" w14:paraId="304B07D4" w14:textId="2B2DAD7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2018.448</w:t>
            </w:r>
          </w:p>
        </w:tc>
        <w:tc>
          <w:tcPr>
            <w:tcW w:w="1314" w:type="dxa"/>
            <w:tcMar/>
          </w:tcPr>
          <w:p w:rsidR="54A4DE24" w:rsidP="54A4DE24" w:rsidRDefault="54A4DE24" w14:paraId="011AFC66" w14:textId="1DBEDB6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1E3C3A90" w14:textId="422A900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FA568C7" w14:textId="0F897D15">
            <w:pPr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2018.448</w:t>
            </w:r>
          </w:p>
        </w:tc>
      </w:tr>
      <w:tr w:rsidR="54A4DE24" w:rsidTr="54A4DE24" w14:paraId="00539F16">
        <w:tc>
          <w:tcPr>
            <w:tcW w:w="1314" w:type="dxa"/>
            <w:tcMar/>
          </w:tcPr>
          <w:p w:rsidR="54A4DE24" w:rsidP="54A4DE24" w:rsidRDefault="54A4DE24" w14:paraId="11E37B76" w14:textId="31FFFE4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HMO Package</w:t>
            </w:r>
          </w:p>
        </w:tc>
        <w:tc>
          <w:tcPr>
            <w:tcW w:w="1314" w:type="dxa"/>
            <w:tcMar/>
          </w:tcPr>
          <w:p w:rsidR="54A4DE24" w:rsidP="54A4DE24" w:rsidRDefault="54A4DE24" w14:paraId="430050B2" w14:textId="69DE43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Kaiser + Willamette Dental</w:t>
            </w:r>
          </w:p>
        </w:tc>
        <w:tc>
          <w:tcPr>
            <w:tcW w:w="1314" w:type="dxa"/>
            <w:tcMar/>
          </w:tcPr>
          <w:p w:rsidR="54A4DE24" w:rsidP="54A4DE24" w:rsidRDefault="54A4DE24" w14:paraId="05B78310" w14:textId="6F560E6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913.45</w:t>
            </w:r>
          </w:p>
        </w:tc>
        <w:tc>
          <w:tcPr>
            <w:tcW w:w="1314" w:type="dxa"/>
            <w:tcMar/>
          </w:tcPr>
          <w:p w:rsidR="54A4DE24" w:rsidP="54A4DE24" w:rsidRDefault="54A4DE24" w14:paraId="448F42D8" w14:textId="2B0A005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2192.28</w:t>
            </w:r>
          </w:p>
        </w:tc>
        <w:tc>
          <w:tcPr>
            <w:tcW w:w="1314" w:type="dxa"/>
            <w:tcMar/>
          </w:tcPr>
          <w:p w:rsidR="54A4DE24" w:rsidP="54A4DE24" w:rsidRDefault="54A4DE24" w14:paraId="5B52BF17" w14:textId="1618BB0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1B158B69" w14:textId="654762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0</w:t>
            </w:r>
          </w:p>
        </w:tc>
        <w:tc>
          <w:tcPr>
            <w:tcW w:w="1314" w:type="dxa"/>
            <w:tcMar/>
          </w:tcPr>
          <w:p w:rsidR="54A4DE24" w:rsidP="54A4DE24" w:rsidRDefault="54A4DE24" w14:paraId="6CC905CE" w14:textId="5BEF9240">
            <w:pPr>
              <w:rPr>
                <w:rFonts w:ascii="Calibri" w:hAnsi="Calibri" w:eastAsia="Calibri" w:cs="Calibri"/>
                <w:color w:val="FF0000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2192.28</w:t>
            </w:r>
          </w:p>
        </w:tc>
      </w:tr>
      <w:tr w:rsidR="54A4DE24" w:rsidTr="54A4DE24" w14:paraId="0C27590E">
        <w:tc>
          <w:tcPr>
            <w:tcW w:w="1314" w:type="dxa"/>
            <w:tcMar/>
          </w:tcPr>
          <w:p w:rsidR="54A4DE24" w:rsidP="54A4DE24" w:rsidRDefault="54A4DE24" w14:paraId="674E6A47" w14:textId="6BB2D4A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48A4C336" w14:textId="257B43A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1862FFF1" w14:textId="12CD049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7476CCD1" w14:textId="267BE9B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79FAC0B2" w14:textId="4A7FA66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6BE8F1E6" w14:textId="2C029E2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3D96986A" w14:textId="7F36A2CF">
            <w:pPr>
              <w:rPr>
                <w:sz w:val="16"/>
                <w:szCs w:val="16"/>
              </w:rPr>
            </w:pPr>
          </w:p>
        </w:tc>
      </w:tr>
      <w:tr w:rsidR="54A4DE24" w:rsidTr="54A4DE24" w14:paraId="1496AB32">
        <w:tc>
          <w:tcPr>
            <w:tcW w:w="1314" w:type="dxa"/>
            <w:tcMar/>
          </w:tcPr>
          <w:p w:rsidR="54A4DE24" w:rsidP="54A4DE24" w:rsidRDefault="54A4DE24" w14:paraId="7E46F702" w14:textId="6F2348A0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Notes:</w:t>
            </w:r>
          </w:p>
        </w:tc>
        <w:tc>
          <w:tcPr>
            <w:tcW w:w="1314" w:type="dxa"/>
            <w:tcMar/>
          </w:tcPr>
          <w:p w:rsidR="54A4DE24" w:rsidP="54A4DE24" w:rsidRDefault="54A4DE24" w14:paraId="6FD22E71" w14:textId="7CF396E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BE23024" w14:textId="48A64E4C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54DDDBFC" w14:textId="2758F92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336C7889" w14:textId="3C9355BF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70BB93A1" w14:textId="39355A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Mar/>
          </w:tcPr>
          <w:p w:rsidR="54A4DE24" w:rsidP="54A4DE24" w:rsidRDefault="54A4DE24" w14:paraId="2EEDB4AE" w14:textId="67562111">
            <w:pPr>
              <w:rPr>
                <w:sz w:val="16"/>
                <w:szCs w:val="16"/>
              </w:rPr>
            </w:pPr>
          </w:p>
        </w:tc>
      </w:tr>
      <w:tr w:rsidR="54A4DE24" w:rsidTr="54A4DE24" w14:paraId="6CF869E8">
        <w:tc>
          <w:tcPr>
            <w:tcW w:w="9198" w:type="dxa"/>
            <w:gridSpan w:val="7"/>
            <w:tcMar/>
          </w:tcPr>
          <w:p w:rsidR="54A4DE24" w:rsidP="54A4DE24" w:rsidRDefault="54A4DE24" w14:paraId="26597D5F" w14:textId="6C030C1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Plans were selected based on similarity to City of Seattle or King County Benefits.  If a less expensive plan option in that category is available, that is stated in Column H.</w:t>
            </w:r>
          </w:p>
        </w:tc>
      </w:tr>
      <w:tr w:rsidR="54A4DE24" w:rsidTr="54A4DE24" w14:paraId="722B1214">
        <w:tc>
          <w:tcPr>
            <w:tcW w:w="9198" w:type="dxa"/>
            <w:gridSpan w:val="7"/>
            <w:tcMar/>
          </w:tcPr>
          <w:p w:rsidR="54A4DE24" w:rsidP="54A4DE24" w:rsidRDefault="54A4DE24" w14:paraId="517A4CF4" w14:textId="41A2BB3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54A4DE24" w:rsidR="54A4DE24">
              <w:rPr>
                <w:rFonts w:ascii="Calibri" w:hAnsi="Calibri" w:eastAsia="Calibri" w:cs="Calibri"/>
                <w:sz w:val="16"/>
                <w:szCs w:val="16"/>
              </w:rPr>
              <w:t>The Basic Life and AD&amp;D Insurance Benefit amounts are well below what is typically offered. Supplemental coverage is available.</w:t>
            </w:r>
          </w:p>
        </w:tc>
      </w:tr>
    </w:tbl>
    <w:p w:rsidR="54A4DE24" w:rsidP="54A4DE24" w:rsidRDefault="54A4DE24" w14:paraId="3236E193" w14:textId="113F88A0">
      <w:pPr>
        <w:pStyle w:val="ListParagraph"/>
        <w:spacing w:before="0" w:after="0" w:line="240" w:lineRule="auto"/>
        <w:ind w:left="540"/>
      </w:pPr>
    </w:p>
    <w:sectPr w:rsidRPr="005666A0" w:rsidR="005666A0" w:rsidSect="009A66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6F1B" w:rsidP="00245750" w:rsidRDefault="00B36F1B" w14:paraId="44418983" w14:textId="77777777">
      <w:pPr>
        <w:spacing w:after="0" w:line="240" w:lineRule="auto"/>
      </w:pPr>
      <w:r>
        <w:separator/>
      </w:r>
    </w:p>
  </w:endnote>
  <w:endnote w:type="continuationSeparator" w:id="0">
    <w:p w:rsidR="00B36F1B" w:rsidP="00245750" w:rsidRDefault="00B36F1B" w14:paraId="7B0FF3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37F" w:rsidRDefault="0077737F" w14:paraId="377C25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37F" w:rsidRDefault="0077737F" w14:paraId="65764F8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37F" w:rsidRDefault="0077737F" w14:paraId="1C6EB3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6F1B" w:rsidP="00245750" w:rsidRDefault="00B36F1B" w14:paraId="380DA064" w14:textId="77777777">
      <w:pPr>
        <w:spacing w:after="0" w:line="240" w:lineRule="auto"/>
      </w:pPr>
      <w:r>
        <w:separator/>
      </w:r>
    </w:p>
  </w:footnote>
  <w:footnote w:type="continuationSeparator" w:id="0">
    <w:p w:rsidR="00B36F1B" w:rsidP="00245750" w:rsidRDefault="00B36F1B" w14:paraId="3B930D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37F" w:rsidRDefault="0077737F" w14:paraId="78A1953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01D" w:rsidP="00275C48" w:rsidRDefault="00B36F1B" w14:paraId="58F69EC2" w14:textId="2E5F3F2F">
    <w:pPr>
      <w:pStyle w:val="Header"/>
      <w:jc w:val="right"/>
      <w:rPr>
        <w:sz w:val="20"/>
        <w:szCs w:val="20"/>
      </w:rPr>
    </w:pPr>
    <w:sdt>
      <w:sdtPr>
        <w:rPr>
          <w:sz w:val="20"/>
          <w:szCs w:val="20"/>
        </w:rPr>
        <w:id w:val="-273557748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249C6A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09C7">
      <w:rPr>
        <w:sz w:val="20"/>
        <w:szCs w:val="20"/>
      </w:rPr>
      <w:t>Unapproved Deliberative Draft</w:t>
    </w:r>
  </w:p>
  <w:p w:rsidRPr="00DE759A" w:rsidR="00275C48" w:rsidP="00275C48" w:rsidRDefault="009E09C7" w14:paraId="711B0E2E" w14:textId="4C5ACDB2">
    <w:pPr>
      <w:pStyle w:val="Header"/>
      <w:jc w:val="right"/>
      <w:rPr>
        <w:sz w:val="20"/>
        <w:szCs w:val="20"/>
      </w:rPr>
    </w:pPr>
    <w:r w:rsidRPr="4859BFA7" w:rsidR="4859BFA7">
      <w:rPr>
        <w:sz w:val="20"/>
        <w:szCs w:val="20"/>
      </w:rPr>
      <w:t>August 24</w:t>
    </w:r>
    <w:r w:rsidRPr="4859BFA7" w:rsidR="4859BFA7">
      <w:rPr>
        <w:sz w:val="20"/>
        <w:szCs w:val="20"/>
      </w:rPr>
      <w:t>, 2020</w:t>
    </w:r>
  </w:p>
  <w:p w:rsidRPr="00DE759A" w:rsidR="00275C48" w:rsidP="00275C48" w:rsidRDefault="00275C48" w14:paraId="775BEA82" w14:textId="77777777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37F" w:rsidRDefault="0077737F" w14:paraId="7C077B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72CC"/>
    <w:multiLevelType w:val="hybridMultilevel"/>
    <w:tmpl w:val="A02654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9F405EA"/>
    <w:multiLevelType w:val="hybridMultilevel"/>
    <w:tmpl w:val="FDE61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08085E"/>
    <w:multiLevelType w:val="hybridMultilevel"/>
    <w:tmpl w:val="6B52B2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27F9A"/>
    <w:multiLevelType w:val="hybridMultilevel"/>
    <w:tmpl w:val="1376D246"/>
    <w:lvl w:ilvl="0" w:tplc="842CED74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4" w15:restartNumberingAfterBreak="0">
    <w:nsid w:val="15F51FBD"/>
    <w:multiLevelType w:val="hybridMultilevel"/>
    <w:tmpl w:val="BE7050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D57B73"/>
    <w:multiLevelType w:val="hybridMultilevel"/>
    <w:tmpl w:val="2290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CC6961"/>
    <w:multiLevelType w:val="hybridMultilevel"/>
    <w:tmpl w:val="07B27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501DC"/>
    <w:multiLevelType w:val="hybridMultilevel"/>
    <w:tmpl w:val="F67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746CC9"/>
    <w:multiLevelType w:val="hybridMultilevel"/>
    <w:tmpl w:val="6E64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7021"/>
    <w:multiLevelType w:val="hybridMultilevel"/>
    <w:tmpl w:val="C7D4B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AF3AE3"/>
    <w:multiLevelType w:val="hybridMultilevel"/>
    <w:tmpl w:val="CA604D2A"/>
    <w:lvl w:ilvl="0" w:tplc="B0566D4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3AEA"/>
    <w:multiLevelType w:val="hybridMultilevel"/>
    <w:tmpl w:val="AF1A2F5A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 w15:restartNumberingAfterBreak="0">
    <w:nsid w:val="63AF7A6F"/>
    <w:multiLevelType w:val="hybridMultilevel"/>
    <w:tmpl w:val="6CA2F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5A15F3"/>
    <w:multiLevelType w:val="hybridMultilevel"/>
    <w:tmpl w:val="6652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D7D71"/>
    <w:multiLevelType w:val="hybridMultilevel"/>
    <w:tmpl w:val="60E6EC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D654AC"/>
    <w:multiLevelType w:val="hybridMultilevel"/>
    <w:tmpl w:val="F6581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A52963"/>
    <w:multiLevelType w:val="hybridMultilevel"/>
    <w:tmpl w:val="1174E8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32143F"/>
    <w:multiLevelType w:val="hybridMultilevel"/>
    <w:tmpl w:val="CBA4F360"/>
    <w:lvl w:ilvl="0" w:tplc="04090001">
      <w:start w:val="1"/>
      <w:numFmt w:val="bullet"/>
      <w:lvlText w:val=""/>
      <w:lvlJc w:val="left"/>
      <w:pPr>
        <w:ind w:left="13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hint="default" w:ascii="Wingdings" w:hAnsi="Wingdings"/>
      </w:rPr>
    </w:lvl>
  </w:abstractNum>
  <w:abstractNum w:abstractNumId="18" w15:restartNumberingAfterBreak="0">
    <w:nsid w:val="7EE85E07"/>
    <w:multiLevelType w:val="hybridMultilevel"/>
    <w:tmpl w:val="053A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11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50"/>
    <w:rsid w:val="00011738"/>
    <w:rsid w:val="00014049"/>
    <w:rsid w:val="00033B96"/>
    <w:rsid w:val="000606AB"/>
    <w:rsid w:val="0006718A"/>
    <w:rsid w:val="00077B0A"/>
    <w:rsid w:val="00077B6C"/>
    <w:rsid w:val="00083DD4"/>
    <w:rsid w:val="000A17CF"/>
    <w:rsid w:val="000A38DE"/>
    <w:rsid w:val="000D513F"/>
    <w:rsid w:val="000E0EB6"/>
    <w:rsid w:val="000F3414"/>
    <w:rsid w:val="001171B9"/>
    <w:rsid w:val="0012122E"/>
    <w:rsid w:val="001224CE"/>
    <w:rsid w:val="0012519C"/>
    <w:rsid w:val="001252CA"/>
    <w:rsid w:val="00126738"/>
    <w:rsid w:val="00130CD5"/>
    <w:rsid w:val="001405BE"/>
    <w:rsid w:val="0014651D"/>
    <w:rsid w:val="001823CB"/>
    <w:rsid w:val="0019141F"/>
    <w:rsid w:val="00192E73"/>
    <w:rsid w:val="001A65FF"/>
    <w:rsid w:val="001B79E0"/>
    <w:rsid w:val="001C5E12"/>
    <w:rsid w:val="001D0BD0"/>
    <w:rsid w:val="001D16F9"/>
    <w:rsid w:val="001F257B"/>
    <w:rsid w:val="001F79E1"/>
    <w:rsid w:val="00201035"/>
    <w:rsid w:val="00223BAC"/>
    <w:rsid w:val="00223C54"/>
    <w:rsid w:val="00245750"/>
    <w:rsid w:val="00250C7B"/>
    <w:rsid w:val="00267192"/>
    <w:rsid w:val="00275C3E"/>
    <w:rsid w:val="00275C48"/>
    <w:rsid w:val="0027783B"/>
    <w:rsid w:val="00281ED1"/>
    <w:rsid w:val="002A4178"/>
    <w:rsid w:val="002A6D46"/>
    <w:rsid w:val="002B1165"/>
    <w:rsid w:val="002B3A2B"/>
    <w:rsid w:val="002C426A"/>
    <w:rsid w:val="002E20F0"/>
    <w:rsid w:val="002E2D8E"/>
    <w:rsid w:val="002F2A93"/>
    <w:rsid w:val="003267D5"/>
    <w:rsid w:val="00343853"/>
    <w:rsid w:val="00346811"/>
    <w:rsid w:val="003A701D"/>
    <w:rsid w:val="003B7DFC"/>
    <w:rsid w:val="003C33DE"/>
    <w:rsid w:val="003D3364"/>
    <w:rsid w:val="004005A1"/>
    <w:rsid w:val="004115DD"/>
    <w:rsid w:val="00424BFE"/>
    <w:rsid w:val="00435C16"/>
    <w:rsid w:val="004374B1"/>
    <w:rsid w:val="00441F0E"/>
    <w:rsid w:val="00442030"/>
    <w:rsid w:val="00444992"/>
    <w:rsid w:val="0047397D"/>
    <w:rsid w:val="00476E5D"/>
    <w:rsid w:val="004823F7"/>
    <w:rsid w:val="004A1ECC"/>
    <w:rsid w:val="004A2382"/>
    <w:rsid w:val="004B31E4"/>
    <w:rsid w:val="004C1992"/>
    <w:rsid w:val="004D2A9B"/>
    <w:rsid w:val="005059F9"/>
    <w:rsid w:val="005160B8"/>
    <w:rsid w:val="005161E6"/>
    <w:rsid w:val="0052502E"/>
    <w:rsid w:val="00537200"/>
    <w:rsid w:val="005421CF"/>
    <w:rsid w:val="005666A0"/>
    <w:rsid w:val="005A07DE"/>
    <w:rsid w:val="005B4438"/>
    <w:rsid w:val="005C7983"/>
    <w:rsid w:val="005F3580"/>
    <w:rsid w:val="005F4473"/>
    <w:rsid w:val="00602996"/>
    <w:rsid w:val="00607B96"/>
    <w:rsid w:val="0061281D"/>
    <w:rsid w:val="006135EB"/>
    <w:rsid w:val="00625E65"/>
    <w:rsid w:val="0064263D"/>
    <w:rsid w:val="00653761"/>
    <w:rsid w:val="00671C4B"/>
    <w:rsid w:val="0069058F"/>
    <w:rsid w:val="006927AD"/>
    <w:rsid w:val="006E74DB"/>
    <w:rsid w:val="006F3D64"/>
    <w:rsid w:val="006F575E"/>
    <w:rsid w:val="007072BE"/>
    <w:rsid w:val="00711B45"/>
    <w:rsid w:val="007149EB"/>
    <w:rsid w:val="007240B9"/>
    <w:rsid w:val="00726C82"/>
    <w:rsid w:val="00730CD6"/>
    <w:rsid w:val="007329C7"/>
    <w:rsid w:val="007412CE"/>
    <w:rsid w:val="0074404A"/>
    <w:rsid w:val="0074475C"/>
    <w:rsid w:val="00750D58"/>
    <w:rsid w:val="00753355"/>
    <w:rsid w:val="00756944"/>
    <w:rsid w:val="0077737F"/>
    <w:rsid w:val="00781292"/>
    <w:rsid w:val="007A24DF"/>
    <w:rsid w:val="008043A4"/>
    <w:rsid w:val="00835018"/>
    <w:rsid w:val="00836031"/>
    <w:rsid w:val="00850090"/>
    <w:rsid w:val="00891447"/>
    <w:rsid w:val="008B41E2"/>
    <w:rsid w:val="008C20E5"/>
    <w:rsid w:val="008C7110"/>
    <w:rsid w:val="008E40B4"/>
    <w:rsid w:val="008E671F"/>
    <w:rsid w:val="008E693E"/>
    <w:rsid w:val="008F7856"/>
    <w:rsid w:val="009109DF"/>
    <w:rsid w:val="009229AF"/>
    <w:rsid w:val="00943375"/>
    <w:rsid w:val="00946157"/>
    <w:rsid w:val="009652B8"/>
    <w:rsid w:val="009A66FD"/>
    <w:rsid w:val="009E09C7"/>
    <w:rsid w:val="009E177E"/>
    <w:rsid w:val="009F1778"/>
    <w:rsid w:val="00A16517"/>
    <w:rsid w:val="00A21396"/>
    <w:rsid w:val="00A225E1"/>
    <w:rsid w:val="00A32F76"/>
    <w:rsid w:val="00A63930"/>
    <w:rsid w:val="00A76748"/>
    <w:rsid w:val="00A80A0C"/>
    <w:rsid w:val="00A80F4B"/>
    <w:rsid w:val="00A97319"/>
    <w:rsid w:val="00AA15B6"/>
    <w:rsid w:val="00AA5C8A"/>
    <w:rsid w:val="00B01C28"/>
    <w:rsid w:val="00B36F1B"/>
    <w:rsid w:val="00B802B3"/>
    <w:rsid w:val="00B96707"/>
    <w:rsid w:val="00BA3E69"/>
    <w:rsid w:val="00BC2568"/>
    <w:rsid w:val="00BC68F8"/>
    <w:rsid w:val="00BE7F17"/>
    <w:rsid w:val="00BF37AD"/>
    <w:rsid w:val="00C119BC"/>
    <w:rsid w:val="00C154E1"/>
    <w:rsid w:val="00C217C0"/>
    <w:rsid w:val="00C35428"/>
    <w:rsid w:val="00C42CB6"/>
    <w:rsid w:val="00C5324F"/>
    <w:rsid w:val="00C61392"/>
    <w:rsid w:val="00C644CA"/>
    <w:rsid w:val="00C74AF8"/>
    <w:rsid w:val="00C8685F"/>
    <w:rsid w:val="00C92FFC"/>
    <w:rsid w:val="00CA0FCA"/>
    <w:rsid w:val="00CB2806"/>
    <w:rsid w:val="00CB34D1"/>
    <w:rsid w:val="00CB35CE"/>
    <w:rsid w:val="00CD4E83"/>
    <w:rsid w:val="00CE09CB"/>
    <w:rsid w:val="00CE4E24"/>
    <w:rsid w:val="00CE6B8A"/>
    <w:rsid w:val="00CF072F"/>
    <w:rsid w:val="00CF5564"/>
    <w:rsid w:val="00D03788"/>
    <w:rsid w:val="00D03CB9"/>
    <w:rsid w:val="00D131F7"/>
    <w:rsid w:val="00D1524D"/>
    <w:rsid w:val="00D16087"/>
    <w:rsid w:val="00D22F3E"/>
    <w:rsid w:val="00D31591"/>
    <w:rsid w:val="00D51211"/>
    <w:rsid w:val="00D62876"/>
    <w:rsid w:val="00D966E6"/>
    <w:rsid w:val="00D968FB"/>
    <w:rsid w:val="00DA1EA1"/>
    <w:rsid w:val="00DB4D70"/>
    <w:rsid w:val="00DB541E"/>
    <w:rsid w:val="00DC2CD9"/>
    <w:rsid w:val="00DD2271"/>
    <w:rsid w:val="00DE4908"/>
    <w:rsid w:val="00DE759A"/>
    <w:rsid w:val="00E2088B"/>
    <w:rsid w:val="00E42992"/>
    <w:rsid w:val="00E56A7B"/>
    <w:rsid w:val="00E628E6"/>
    <w:rsid w:val="00E64241"/>
    <w:rsid w:val="00E6677E"/>
    <w:rsid w:val="00E73A9A"/>
    <w:rsid w:val="00E75C03"/>
    <w:rsid w:val="00E82486"/>
    <w:rsid w:val="00EA15C0"/>
    <w:rsid w:val="00EB35DB"/>
    <w:rsid w:val="00EB5C49"/>
    <w:rsid w:val="00EC1876"/>
    <w:rsid w:val="00ED7C19"/>
    <w:rsid w:val="00EE5373"/>
    <w:rsid w:val="00EE6B80"/>
    <w:rsid w:val="00EF7974"/>
    <w:rsid w:val="00F16C9C"/>
    <w:rsid w:val="00F27470"/>
    <w:rsid w:val="00F47FE7"/>
    <w:rsid w:val="00F6571E"/>
    <w:rsid w:val="00F710BA"/>
    <w:rsid w:val="00F911EA"/>
    <w:rsid w:val="00FB6C06"/>
    <w:rsid w:val="00FD1217"/>
    <w:rsid w:val="00FE3923"/>
    <w:rsid w:val="00FE4AFD"/>
    <w:rsid w:val="03112EB0"/>
    <w:rsid w:val="03AA0B1C"/>
    <w:rsid w:val="040F21FD"/>
    <w:rsid w:val="056AE3AD"/>
    <w:rsid w:val="05D62978"/>
    <w:rsid w:val="068A6B52"/>
    <w:rsid w:val="072BCF9A"/>
    <w:rsid w:val="07455ADF"/>
    <w:rsid w:val="075FAAB6"/>
    <w:rsid w:val="07E9EE2A"/>
    <w:rsid w:val="09E0D254"/>
    <w:rsid w:val="0A5A8287"/>
    <w:rsid w:val="0B1C9A3C"/>
    <w:rsid w:val="0B2361BD"/>
    <w:rsid w:val="0CBE4CBF"/>
    <w:rsid w:val="0EFA38A0"/>
    <w:rsid w:val="101E59C8"/>
    <w:rsid w:val="10C46633"/>
    <w:rsid w:val="14370A5F"/>
    <w:rsid w:val="14C16CB6"/>
    <w:rsid w:val="157EFB69"/>
    <w:rsid w:val="1B03FB17"/>
    <w:rsid w:val="1B5108D7"/>
    <w:rsid w:val="1B733786"/>
    <w:rsid w:val="1C50D01F"/>
    <w:rsid w:val="1CB4D8C2"/>
    <w:rsid w:val="1CFAFE36"/>
    <w:rsid w:val="1D9379FF"/>
    <w:rsid w:val="1F33527F"/>
    <w:rsid w:val="2276A6CE"/>
    <w:rsid w:val="2280E146"/>
    <w:rsid w:val="25DFC010"/>
    <w:rsid w:val="25F3A09D"/>
    <w:rsid w:val="25FFDF50"/>
    <w:rsid w:val="2615F355"/>
    <w:rsid w:val="27463A47"/>
    <w:rsid w:val="28C55044"/>
    <w:rsid w:val="2ABB5B27"/>
    <w:rsid w:val="2C2031D1"/>
    <w:rsid w:val="2C5F100E"/>
    <w:rsid w:val="2CEA2270"/>
    <w:rsid w:val="2D3ED260"/>
    <w:rsid w:val="2DB9061B"/>
    <w:rsid w:val="2E171B9F"/>
    <w:rsid w:val="2F27A8F4"/>
    <w:rsid w:val="2F52B134"/>
    <w:rsid w:val="3147E63A"/>
    <w:rsid w:val="31F4DB8C"/>
    <w:rsid w:val="34249611"/>
    <w:rsid w:val="37F59C12"/>
    <w:rsid w:val="39B317C4"/>
    <w:rsid w:val="3AB0FF66"/>
    <w:rsid w:val="3AB70424"/>
    <w:rsid w:val="3AD6523F"/>
    <w:rsid w:val="3BA9393A"/>
    <w:rsid w:val="3D8BF1AE"/>
    <w:rsid w:val="3F1CB1B6"/>
    <w:rsid w:val="3FF8C34D"/>
    <w:rsid w:val="40BD53C4"/>
    <w:rsid w:val="425249E4"/>
    <w:rsid w:val="42A2C629"/>
    <w:rsid w:val="42BB3E85"/>
    <w:rsid w:val="4300E0FC"/>
    <w:rsid w:val="430D1DAA"/>
    <w:rsid w:val="432A3C7E"/>
    <w:rsid w:val="44DF0838"/>
    <w:rsid w:val="44E1C41C"/>
    <w:rsid w:val="4590C2CC"/>
    <w:rsid w:val="4859BFA7"/>
    <w:rsid w:val="4A9C5ECC"/>
    <w:rsid w:val="4B7F0017"/>
    <w:rsid w:val="4E027165"/>
    <w:rsid w:val="5008BF86"/>
    <w:rsid w:val="507D254C"/>
    <w:rsid w:val="513C97BC"/>
    <w:rsid w:val="54A4DE24"/>
    <w:rsid w:val="54DCFA10"/>
    <w:rsid w:val="5A99B1CC"/>
    <w:rsid w:val="5C40E51A"/>
    <w:rsid w:val="5E080640"/>
    <w:rsid w:val="5FA44A1A"/>
    <w:rsid w:val="61B83AB1"/>
    <w:rsid w:val="61D1D3DD"/>
    <w:rsid w:val="6204D62E"/>
    <w:rsid w:val="62AA4367"/>
    <w:rsid w:val="651BBFC6"/>
    <w:rsid w:val="682C7461"/>
    <w:rsid w:val="68CB30FB"/>
    <w:rsid w:val="6A94E0B2"/>
    <w:rsid w:val="6BE34373"/>
    <w:rsid w:val="6BEAC396"/>
    <w:rsid w:val="6C2568A6"/>
    <w:rsid w:val="6DF8B12F"/>
    <w:rsid w:val="6E916EA8"/>
    <w:rsid w:val="6F0A99EA"/>
    <w:rsid w:val="6FCEC0B1"/>
    <w:rsid w:val="70DB59B3"/>
    <w:rsid w:val="71021767"/>
    <w:rsid w:val="73BED8F8"/>
    <w:rsid w:val="752FE619"/>
    <w:rsid w:val="752FE619"/>
    <w:rsid w:val="753434D5"/>
    <w:rsid w:val="754D10EB"/>
    <w:rsid w:val="756791E9"/>
    <w:rsid w:val="75D3696E"/>
    <w:rsid w:val="7722E467"/>
    <w:rsid w:val="7973F135"/>
    <w:rsid w:val="7BCB6209"/>
    <w:rsid w:val="7BFC90D7"/>
    <w:rsid w:val="7CC0B476"/>
    <w:rsid w:val="7D1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19BDA"/>
  <w15:chartTrackingRefBased/>
  <w15:docId w15:val="{1053B34E-2E96-4D16-BD87-AF2C2649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85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85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750"/>
    <w:pPr>
      <w:spacing w:before="12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4575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671F"/>
    <w:pPr>
      <w:spacing w:before="120" w:after="60"/>
      <w:ind w:left="720"/>
    </w:pPr>
  </w:style>
  <w:style w:type="table" w:styleId="TableGrid">
    <w:name w:val="Table Grid"/>
    <w:basedOn w:val="TableNormal"/>
    <w:uiPriority w:val="59"/>
    <w:rsid w:val="008E67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65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65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52B8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34385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34385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438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C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5C48"/>
  </w:style>
  <w:style w:type="paragraph" w:styleId="Footer">
    <w:name w:val="footer"/>
    <w:basedOn w:val="Normal"/>
    <w:link w:val="FooterChar"/>
    <w:uiPriority w:val="99"/>
    <w:unhideWhenUsed/>
    <w:rsid w:val="00275C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C48"/>
  </w:style>
  <w:style w:type="paragraph" w:styleId="FootnoteText">
    <w:name w:val="footnote text"/>
    <w:basedOn w:val="Normal"/>
    <w:link w:val="FootnoteTextChar"/>
    <w:uiPriority w:val="99"/>
    <w:semiHidden/>
    <w:unhideWhenUsed/>
    <w:rsid w:val="002C426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C426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2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E69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A3E69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A21396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DE4908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66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ola.Plumacher@seattle.gov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7d4cc7da647947a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0158-c90c-4164-a208-63e1eb1eb4f7}"/>
      </w:docPartPr>
      <w:docPartBody>
        <w:p w14:paraId="54DCFA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0F9059120504FA6690DD83DE68BD3" ma:contentTypeVersion="10" ma:contentTypeDescription="Create a new document." ma:contentTypeScope="" ma:versionID="6a8073f91e4949f62a9f3e9cf1673245">
  <xsd:schema xmlns:xsd="http://www.w3.org/2001/XMLSchema" xmlns:xs="http://www.w3.org/2001/XMLSchema" xmlns:p="http://schemas.microsoft.com/office/2006/metadata/properties" xmlns:ns3="513eec58-8c13-4542-b045-f0b45154ec03" targetNamespace="http://schemas.microsoft.com/office/2006/metadata/properties" ma:root="true" ma:fieldsID="ce003f29cf72b285517edfa7b6df78eb" ns3:_="">
    <xsd:import namespace="513eec58-8c13-4542-b045-f0b45154e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eec58-8c13-4542-b045-f0b45154e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D2A99-C201-4099-A5D2-260C2272F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7B85E-7A68-48E9-9DE7-071FEB6A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6C264-585A-4053-93F4-0AFDC6136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121FB-4934-4497-97C6-79B53FF3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eec58-8c13-4542-b045-f0b45154e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King County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Spoelman, Karen</dc:creator>
  <keywords/>
  <dc:description/>
  <lastModifiedBy>Plumacher, Sola</lastModifiedBy>
  <revision>14</revision>
  <lastPrinted>2020-04-20T15:57:00.0000000Z</lastPrinted>
  <dcterms:created xsi:type="dcterms:W3CDTF">2020-07-16T20:11:00.0000000Z</dcterms:created>
  <dcterms:modified xsi:type="dcterms:W3CDTF">2020-08-18T20:40:32.8095140Z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0x0101008980F9059120504FA6690DD83DE68BD3</vt:lpwstr>
  </property>
</Properties>
</file>