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5" w:type="dxa"/>
        <w:tblBorders>
          <w:top w:val="single" w:color="4472C4" w:themeColor="accent5" w:sz="12" w:space="0"/>
          <w:left w:val="single" w:color="4472C4" w:themeColor="accent5" w:sz="12" w:space="0"/>
          <w:bottom w:val="single" w:color="4472C4" w:themeColor="accent5" w:sz="12" w:space="0"/>
          <w:right w:val="single" w:color="4472C4" w:themeColor="accent5" w:sz="12" w:space="0"/>
          <w:insideH w:val="none" w:color="auto" w:sz="0" w:space="0"/>
          <w:insideV w:val="none" w:color="auto" w:sz="0" w:space="0"/>
        </w:tblBorders>
        <w:tblLook w:val="04A0" w:firstRow="1" w:lastRow="0" w:firstColumn="1" w:lastColumn="0" w:noHBand="0" w:noVBand="1"/>
      </w:tblPr>
      <w:tblGrid>
        <w:gridCol w:w="2146"/>
        <w:gridCol w:w="7289"/>
      </w:tblGrid>
      <w:tr xmlns:wp14="http://schemas.microsoft.com/office/word/2010/wordml" w:rsidR="000C4043" w:rsidTr="5F319F88" w14:paraId="37074EEE" wp14:textId="77777777">
        <w:tc>
          <w:tcPr>
            <w:tcW w:w="1350" w:type="dxa"/>
            <w:tcBorders>
              <w:top w:val="single" w:color="4472C4" w:themeColor="accent5" w:sz="12" w:space="0"/>
              <w:left w:val="single" w:color="4472C4" w:themeColor="accent5" w:sz="12" w:space="0"/>
              <w:bottom w:val="single" w:color="4472C4" w:themeColor="accent5" w:sz="12" w:space="0"/>
              <w:right w:val="nil"/>
            </w:tcBorders>
            <w:tcMar/>
            <w:hideMark/>
          </w:tcPr>
          <w:p w:rsidR="000C4043" w:rsidRDefault="00267F12" w14:paraId="61F3F0B3" wp14:textId="588BAAF7">
            <w:pPr>
              <w:pStyle w:val="Title"/>
              <w:rPr>
                <w:rFonts w:ascii="Arial" w:hAnsi="Arial" w:cs="Arial"/>
                <w:color w:val="0070C0"/>
                <w:sz w:val="28"/>
                <w:szCs w:val="28"/>
              </w:rPr>
            </w:pPr>
            <w:r w:rsidRPr="5F319F88" w:rsidR="4223813A">
              <w:rPr>
                <w:rFonts w:ascii="Arial" w:hAnsi="Arial" w:cs="Arial"/>
                <w:b w:val="1"/>
                <w:bCs w:val="1"/>
                <w:color w:val="000000" w:themeColor="text1" w:themeTint="FF" w:themeShade="FF"/>
                <w:sz w:val="28"/>
                <w:szCs w:val="28"/>
              </w:rPr>
              <w:t>Executive</w:t>
            </w:r>
            <w:r w:rsidRPr="5F319F88" w:rsidR="00267F12">
              <w:rPr>
                <w:rFonts w:ascii="Arial" w:hAnsi="Arial" w:cs="Arial"/>
                <w:b w:val="1"/>
                <w:bCs w:val="1"/>
                <w:color w:val="000000" w:themeColor="text1" w:themeTint="FF" w:themeShade="FF"/>
                <w:sz w:val="28"/>
                <w:szCs w:val="28"/>
              </w:rPr>
              <w:t xml:space="preserve"> Decisions</w:t>
            </w:r>
          </w:p>
        </w:tc>
        <w:tc>
          <w:tcPr>
            <w:tcW w:w="9237" w:type="dxa"/>
            <w:tcBorders>
              <w:top w:val="single" w:color="4472C4" w:themeColor="accent5" w:sz="12" w:space="0"/>
              <w:left w:val="nil"/>
              <w:bottom w:val="single" w:color="4472C4" w:themeColor="accent5" w:sz="12" w:space="0"/>
              <w:right w:val="single" w:color="4472C4" w:themeColor="accent5" w:sz="12" w:space="0"/>
            </w:tcBorders>
            <w:tcMar/>
          </w:tcPr>
          <w:p w:rsidR="000C4043" w:rsidRDefault="000C4043" w14:paraId="672A6659" wp14:textId="77777777">
            <w:pPr>
              <w:pStyle w:val="Title"/>
              <w:spacing w:before="0"/>
              <w:ind w:left="360"/>
              <w:rPr>
                <w:rFonts w:ascii="Arial" w:hAnsi="Arial" w:cs="Arial"/>
                <w:b/>
                <w:color w:val="000000" w:themeColor="text1"/>
                <w:sz w:val="22"/>
                <w:szCs w:val="22"/>
              </w:rPr>
            </w:pPr>
          </w:p>
          <w:p w:rsidR="000C4043" w:rsidP="0003506A" w:rsidRDefault="000C4043" w14:paraId="7C2BA0D8" wp14:textId="77777777">
            <w:pPr>
              <w:pStyle w:val="Title"/>
              <w:numPr>
                <w:ilvl w:val="0"/>
                <w:numId w:val="1"/>
              </w:numPr>
              <w:spacing w:before="0"/>
              <w:rPr>
                <w:rFonts w:ascii="Arial" w:hAnsi="Arial" w:cs="Arial"/>
                <w:b/>
                <w:color w:val="000000" w:themeColor="text1"/>
                <w:sz w:val="22"/>
                <w:szCs w:val="22"/>
              </w:rPr>
            </w:pPr>
            <w:r>
              <w:rPr>
                <w:rFonts w:ascii="Arial" w:hAnsi="Arial" w:cs="Arial"/>
                <w:b/>
                <w:color w:val="000000" w:themeColor="text1"/>
                <w:sz w:val="22"/>
                <w:szCs w:val="22"/>
              </w:rPr>
              <w:t xml:space="preserve">Whether to </w:t>
            </w:r>
            <w:r w:rsidR="00267F12">
              <w:rPr>
                <w:rFonts w:ascii="Arial" w:hAnsi="Arial" w:cs="Arial"/>
                <w:b/>
                <w:color w:val="000000" w:themeColor="text1"/>
                <w:sz w:val="22"/>
                <w:szCs w:val="22"/>
              </w:rPr>
              <w:t>sign up the King County Regional Homelessness Authority for employee participation in Social Security</w:t>
            </w:r>
            <w:r>
              <w:rPr>
                <w:rFonts w:ascii="Arial" w:hAnsi="Arial" w:cs="Arial"/>
                <w:b/>
                <w:color w:val="000000" w:themeColor="text1"/>
                <w:sz w:val="22"/>
                <w:szCs w:val="22"/>
              </w:rPr>
              <w:t>:</w:t>
            </w:r>
          </w:p>
          <w:p w:rsidRPr="00E9385E" w:rsidR="000C4043" w:rsidP="0003506A" w:rsidRDefault="0008500F" w14:paraId="2D0923F8" wp14:textId="77777777">
            <w:pPr>
              <w:pStyle w:val="ListParagraph"/>
              <w:numPr>
                <w:ilvl w:val="0"/>
                <w:numId w:val="2"/>
              </w:numPr>
              <w:spacing w:after="0" w:line="240" w:lineRule="auto"/>
              <w:rPr>
                <w:sz w:val="24"/>
                <w:szCs w:val="24"/>
              </w:rPr>
            </w:pPr>
            <w:r w:rsidRPr="00E9385E">
              <w:rPr>
                <w:sz w:val="24"/>
                <w:szCs w:val="24"/>
              </w:rPr>
              <w:t>Social Security is a U.S. G</w:t>
            </w:r>
            <w:bookmarkStart w:name="_GoBack" w:id="0"/>
            <w:bookmarkEnd w:id="0"/>
            <w:r w:rsidRPr="00E9385E">
              <w:rPr>
                <w:sz w:val="24"/>
                <w:szCs w:val="24"/>
              </w:rPr>
              <w:t>overnment program that acts as a source of income for retirees and those who cannot work due to disability</w:t>
            </w:r>
            <w:r w:rsidRPr="00E9385E" w:rsidR="000C4043">
              <w:rPr>
                <w:sz w:val="24"/>
                <w:szCs w:val="24"/>
              </w:rPr>
              <w:t xml:space="preserve">. </w:t>
            </w:r>
            <w:r w:rsidRPr="00E9385E">
              <w:rPr>
                <w:sz w:val="24"/>
                <w:szCs w:val="24"/>
              </w:rPr>
              <w:t xml:space="preserve"> It can also support legal dependents with </w:t>
            </w:r>
            <w:r w:rsidRPr="00E9385E" w:rsidR="00E9385E">
              <w:rPr>
                <w:sz w:val="24"/>
                <w:szCs w:val="24"/>
              </w:rPr>
              <w:t>benefits after a beneficiary</w:t>
            </w:r>
            <w:r w:rsidRPr="00E9385E">
              <w:rPr>
                <w:sz w:val="24"/>
                <w:szCs w:val="24"/>
              </w:rPr>
              <w:t xml:space="preserve"> dies. The benefits are generally based on an employee’s earnings over a work lifetime.  A newly formed government entity may opt into participation in Social Security, however it is not required.  The Authority will need to decide if it want</w:t>
            </w:r>
            <w:r w:rsidR="00E9385E">
              <w:rPr>
                <w:sz w:val="24"/>
                <w:szCs w:val="24"/>
              </w:rPr>
              <w:t>s</w:t>
            </w:r>
            <w:r w:rsidRPr="00E9385E">
              <w:rPr>
                <w:sz w:val="24"/>
                <w:szCs w:val="24"/>
              </w:rPr>
              <w:t xml:space="preserve"> to direct staff to sign up the Authority for employee participation.</w:t>
            </w:r>
          </w:p>
          <w:p w:rsidRPr="00E9385E" w:rsidR="000C4043" w:rsidP="0003506A" w:rsidRDefault="00E9385E" w14:paraId="2986677A" wp14:textId="77777777">
            <w:pPr>
              <w:pStyle w:val="ListParagraph"/>
              <w:numPr>
                <w:ilvl w:val="1"/>
                <w:numId w:val="2"/>
              </w:numPr>
              <w:spacing w:after="0" w:line="240" w:lineRule="auto"/>
              <w:rPr>
                <w:sz w:val="24"/>
                <w:szCs w:val="24"/>
              </w:rPr>
            </w:pPr>
            <w:r>
              <w:rPr>
                <w:sz w:val="24"/>
                <w:szCs w:val="24"/>
              </w:rPr>
              <w:t xml:space="preserve">Costs:  If </w:t>
            </w:r>
            <w:r w:rsidRPr="00E9385E" w:rsidR="001A483D">
              <w:rPr>
                <w:sz w:val="24"/>
                <w:szCs w:val="24"/>
              </w:rPr>
              <w:t xml:space="preserve">Authority employees participate in social security, employees will have to contribute 6.2% of their earnings until they have reached a maximum level </w:t>
            </w:r>
            <w:r>
              <w:rPr>
                <w:sz w:val="24"/>
                <w:szCs w:val="24"/>
              </w:rPr>
              <w:t xml:space="preserve">of earnings </w:t>
            </w:r>
            <w:r w:rsidRPr="00E9385E" w:rsidR="001A483D">
              <w:rPr>
                <w:sz w:val="24"/>
                <w:szCs w:val="24"/>
              </w:rPr>
              <w:t xml:space="preserve">(in 2020 that amount of earnings is $137,000); the authority will need to match the employee’s contributions with a 6.2% contribution of its own.   </w:t>
            </w:r>
          </w:p>
          <w:p w:rsidRPr="00E9385E" w:rsidR="001A483D" w:rsidP="0003506A" w:rsidRDefault="001A483D" w14:paraId="428502CB" wp14:textId="77777777">
            <w:pPr>
              <w:pStyle w:val="ListParagraph"/>
              <w:numPr>
                <w:ilvl w:val="1"/>
                <w:numId w:val="2"/>
              </w:numPr>
              <w:spacing w:after="0" w:line="240" w:lineRule="auto"/>
              <w:rPr>
                <w:sz w:val="24"/>
                <w:szCs w:val="24"/>
              </w:rPr>
            </w:pPr>
            <w:r w:rsidRPr="00E9385E">
              <w:rPr>
                <w:sz w:val="24"/>
                <w:szCs w:val="24"/>
              </w:rPr>
              <w:t xml:space="preserve">Pros:  Ultimate benefits of social security are based on participation in the system.   Employees who are unable to participate will likely receive less </w:t>
            </w:r>
            <w:r w:rsidRPr="00E9385E" w:rsidR="00E9385E">
              <w:rPr>
                <w:sz w:val="24"/>
                <w:szCs w:val="24"/>
              </w:rPr>
              <w:t>valuable social</w:t>
            </w:r>
            <w:r w:rsidRPr="00E9385E">
              <w:rPr>
                <w:sz w:val="24"/>
                <w:szCs w:val="24"/>
              </w:rPr>
              <w:t xml:space="preserve"> security benefits when they retire.  They also risk not earning enough credit to participate at all.   Generally employees expect to participate in social security </w:t>
            </w:r>
            <w:r w:rsidRPr="00E9385E" w:rsidR="00E9385E">
              <w:rPr>
                <w:sz w:val="24"/>
                <w:szCs w:val="24"/>
              </w:rPr>
              <w:t>and a</w:t>
            </w:r>
            <w:r w:rsidRPr="00E9385E">
              <w:rPr>
                <w:sz w:val="24"/>
                <w:szCs w:val="24"/>
              </w:rPr>
              <w:t xml:space="preserve"> choice to not enroll employees in social security could harm recruiting efforts.</w:t>
            </w:r>
          </w:p>
          <w:p w:rsidRPr="00E9385E" w:rsidR="00834CC0" w:rsidP="0003506A" w:rsidRDefault="001A483D" w14:paraId="15A6E849" wp14:textId="77777777">
            <w:pPr>
              <w:pStyle w:val="ListParagraph"/>
              <w:numPr>
                <w:ilvl w:val="1"/>
                <w:numId w:val="2"/>
              </w:numPr>
              <w:spacing w:after="0" w:line="240" w:lineRule="auto"/>
              <w:rPr>
                <w:sz w:val="24"/>
                <w:szCs w:val="24"/>
              </w:rPr>
            </w:pPr>
            <w:r w:rsidRPr="00E9385E">
              <w:rPr>
                <w:sz w:val="24"/>
                <w:szCs w:val="24"/>
              </w:rPr>
              <w:t>Cons:  The cost of the employer’s contribution increases the costs of labor.   If the Authority opts out of social security</w:t>
            </w:r>
            <w:r w:rsidRPr="00E9385E" w:rsidR="00834CC0">
              <w:rPr>
                <w:sz w:val="24"/>
                <w:szCs w:val="24"/>
              </w:rPr>
              <w:t>, both the employer and the employee benefit because they do not have to pay social security contributions.  This allows the employee to take home more money and the employer to pay less for labor.  As mentioned above</w:t>
            </w:r>
            <w:r w:rsidR="00E9385E">
              <w:rPr>
                <w:sz w:val="24"/>
                <w:szCs w:val="24"/>
              </w:rPr>
              <w:t>,</w:t>
            </w:r>
            <w:r w:rsidRPr="00E9385E" w:rsidR="00834CC0">
              <w:rPr>
                <w:sz w:val="24"/>
                <w:szCs w:val="24"/>
              </w:rPr>
              <w:t xml:space="preserve"> it</w:t>
            </w:r>
            <w:r w:rsidR="00E9385E">
              <w:rPr>
                <w:sz w:val="24"/>
                <w:szCs w:val="24"/>
              </w:rPr>
              <w:t xml:space="preserve"> also</w:t>
            </w:r>
            <w:r w:rsidRPr="00E9385E" w:rsidR="00834CC0">
              <w:rPr>
                <w:sz w:val="24"/>
                <w:szCs w:val="24"/>
              </w:rPr>
              <w:t xml:space="preserve"> lessens the employee’s ultimate social security benefit and therefore can harm recruiting. </w:t>
            </w:r>
          </w:p>
          <w:p w:rsidRPr="00E9385E" w:rsidR="001A483D" w:rsidP="0003506A" w:rsidRDefault="00834CC0" w14:paraId="0F67002F" wp14:textId="77777777">
            <w:pPr>
              <w:pStyle w:val="ListParagraph"/>
              <w:numPr>
                <w:ilvl w:val="1"/>
                <w:numId w:val="2"/>
              </w:numPr>
              <w:spacing w:after="0" w:line="240" w:lineRule="auto"/>
              <w:rPr>
                <w:sz w:val="24"/>
                <w:szCs w:val="24"/>
              </w:rPr>
            </w:pPr>
            <w:r w:rsidRPr="00E9385E">
              <w:rPr>
                <w:sz w:val="24"/>
                <w:szCs w:val="24"/>
              </w:rPr>
              <w:t xml:space="preserve"> If an employer opts out of social security participation, it must provide some sort of social security replacement mechanism.   This can be accomplish</w:t>
            </w:r>
            <w:r w:rsidR="006F09C6">
              <w:rPr>
                <w:sz w:val="24"/>
                <w:szCs w:val="24"/>
              </w:rPr>
              <w:t>ed</w:t>
            </w:r>
            <w:r w:rsidRPr="00E9385E">
              <w:rPr>
                <w:sz w:val="24"/>
                <w:szCs w:val="24"/>
              </w:rPr>
              <w:t xml:space="preserve"> by signing up for participation in the PERS system </w:t>
            </w:r>
            <w:r w:rsidR="006F09C6">
              <w:rPr>
                <w:sz w:val="24"/>
                <w:szCs w:val="24"/>
              </w:rPr>
              <w:t>(</w:t>
            </w:r>
            <w:r w:rsidRPr="00E9385E">
              <w:rPr>
                <w:sz w:val="24"/>
                <w:szCs w:val="24"/>
              </w:rPr>
              <w:t>see below</w:t>
            </w:r>
            <w:r w:rsidR="006F09C6">
              <w:rPr>
                <w:sz w:val="24"/>
                <w:szCs w:val="24"/>
              </w:rPr>
              <w:t>)</w:t>
            </w:r>
            <w:r w:rsidRPr="00E9385E">
              <w:rPr>
                <w:sz w:val="24"/>
                <w:szCs w:val="24"/>
              </w:rPr>
              <w:t>.   Though note that employees generally expect to participate b</w:t>
            </w:r>
            <w:r w:rsidR="006F09C6">
              <w:rPr>
                <w:sz w:val="24"/>
                <w:szCs w:val="24"/>
              </w:rPr>
              <w:t>oth in social security and PERS</w:t>
            </w:r>
            <w:r w:rsidRPr="00E9385E">
              <w:rPr>
                <w:sz w:val="24"/>
                <w:szCs w:val="24"/>
              </w:rPr>
              <w:t>.</w:t>
            </w:r>
          </w:p>
          <w:p w:rsidRPr="00E9385E" w:rsidR="00834CC0" w:rsidP="0003506A" w:rsidRDefault="00834CC0" w14:paraId="6110CAC8" wp14:textId="77777777">
            <w:pPr>
              <w:pStyle w:val="ListParagraph"/>
              <w:numPr>
                <w:ilvl w:val="1"/>
                <w:numId w:val="2"/>
              </w:numPr>
              <w:spacing w:after="0" w:line="240" w:lineRule="auto"/>
              <w:rPr>
                <w:sz w:val="24"/>
                <w:szCs w:val="24"/>
              </w:rPr>
            </w:pPr>
            <w:r w:rsidRPr="00E9385E">
              <w:rPr>
                <w:sz w:val="24"/>
                <w:szCs w:val="24"/>
                <w:u w:val="single"/>
              </w:rPr>
              <w:lastRenderedPageBreak/>
              <w:t>Recommendation</w:t>
            </w:r>
            <w:r w:rsidRPr="00E9385E">
              <w:rPr>
                <w:sz w:val="24"/>
                <w:szCs w:val="24"/>
              </w:rPr>
              <w:t>:   The workgroup recommend</w:t>
            </w:r>
            <w:r w:rsidRPr="00E9385E" w:rsidR="00E9385E">
              <w:rPr>
                <w:sz w:val="24"/>
                <w:szCs w:val="24"/>
              </w:rPr>
              <w:t>s</w:t>
            </w:r>
            <w:r w:rsidRPr="00E9385E">
              <w:rPr>
                <w:sz w:val="24"/>
                <w:szCs w:val="24"/>
              </w:rPr>
              <w:t xml:space="preserve"> that the Au</w:t>
            </w:r>
            <w:r w:rsidRPr="00E9385E" w:rsidR="00E9385E">
              <w:rPr>
                <w:sz w:val="24"/>
                <w:szCs w:val="24"/>
              </w:rPr>
              <w:t>thority direct staff to take those</w:t>
            </w:r>
            <w:r w:rsidRPr="00E9385E">
              <w:rPr>
                <w:sz w:val="24"/>
                <w:szCs w:val="24"/>
              </w:rPr>
              <w:t xml:space="preserve"> actions </w:t>
            </w:r>
            <w:r w:rsidRPr="00E9385E" w:rsidR="00E9385E">
              <w:rPr>
                <w:sz w:val="24"/>
                <w:szCs w:val="24"/>
              </w:rPr>
              <w:t>necessary</w:t>
            </w:r>
            <w:r w:rsidRPr="00E9385E">
              <w:rPr>
                <w:sz w:val="24"/>
                <w:szCs w:val="24"/>
              </w:rPr>
              <w:t xml:space="preserve"> to allow Authority employees</w:t>
            </w:r>
            <w:r w:rsidRPr="00E9385E" w:rsidR="00E9385E">
              <w:rPr>
                <w:sz w:val="24"/>
                <w:szCs w:val="24"/>
              </w:rPr>
              <w:t xml:space="preserve"> to</w:t>
            </w:r>
            <w:r w:rsidRPr="00E9385E">
              <w:rPr>
                <w:sz w:val="24"/>
                <w:szCs w:val="24"/>
              </w:rPr>
              <w:t xml:space="preserve"> participation in Social Security.</w:t>
            </w:r>
          </w:p>
          <w:p w:rsidRPr="00E9385E" w:rsidR="000C4043" w:rsidRDefault="000C4043" w14:paraId="0A37501D" wp14:textId="77777777">
            <w:pPr>
              <w:pStyle w:val="Title"/>
              <w:spacing w:before="0"/>
              <w:ind w:left="360"/>
              <w:rPr>
                <w:rFonts w:ascii="Arial" w:hAnsi="Arial" w:cs="Arial"/>
                <w:b/>
                <w:color w:val="000000" w:themeColor="text1"/>
                <w:sz w:val="24"/>
                <w:szCs w:val="24"/>
              </w:rPr>
            </w:pPr>
          </w:p>
          <w:p w:rsidR="000C4043" w:rsidP="0003506A" w:rsidRDefault="000C4043" w14:paraId="1BAE771A" wp14:textId="77777777">
            <w:pPr>
              <w:pStyle w:val="Title"/>
              <w:numPr>
                <w:ilvl w:val="0"/>
                <w:numId w:val="1"/>
              </w:numPr>
              <w:spacing w:before="0"/>
              <w:rPr>
                <w:rFonts w:ascii="Arial" w:hAnsi="Arial" w:cs="Arial"/>
                <w:b/>
                <w:color w:val="000000" w:themeColor="text1"/>
                <w:sz w:val="22"/>
                <w:szCs w:val="22"/>
              </w:rPr>
            </w:pPr>
            <w:r>
              <w:rPr>
                <w:rFonts w:ascii="Arial" w:hAnsi="Arial" w:cs="Arial"/>
                <w:b/>
                <w:color w:val="000000" w:themeColor="text1"/>
                <w:sz w:val="22"/>
                <w:szCs w:val="22"/>
              </w:rPr>
              <w:t xml:space="preserve">Whether to </w:t>
            </w:r>
            <w:r w:rsidR="00267F12">
              <w:rPr>
                <w:rFonts w:ascii="Arial" w:hAnsi="Arial" w:cs="Arial"/>
                <w:b/>
                <w:color w:val="000000" w:themeColor="text1"/>
                <w:sz w:val="22"/>
                <w:szCs w:val="22"/>
              </w:rPr>
              <w:t>sign up the King County Regional Homelessness Authority for employee participation in the Public Employee</w:t>
            </w:r>
            <w:r w:rsidR="0008500F">
              <w:rPr>
                <w:rFonts w:ascii="Arial" w:hAnsi="Arial" w:cs="Arial"/>
                <w:b/>
                <w:color w:val="000000" w:themeColor="text1"/>
                <w:sz w:val="22"/>
                <w:szCs w:val="22"/>
              </w:rPr>
              <w:t>s’</w:t>
            </w:r>
            <w:r w:rsidR="00267F12">
              <w:rPr>
                <w:rFonts w:ascii="Arial" w:hAnsi="Arial" w:cs="Arial"/>
                <w:b/>
                <w:color w:val="000000" w:themeColor="text1"/>
                <w:sz w:val="22"/>
                <w:szCs w:val="22"/>
              </w:rPr>
              <w:t xml:space="preserve"> Retirement System</w:t>
            </w:r>
            <w:r>
              <w:rPr>
                <w:rFonts w:ascii="Arial" w:hAnsi="Arial" w:cs="Arial"/>
                <w:b/>
                <w:color w:val="000000" w:themeColor="text1"/>
                <w:sz w:val="22"/>
                <w:szCs w:val="22"/>
              </w:rPr>
              <w:t>:</w:t>
            </w:r>
          </w:p>
          <w:p w:rsidRPr="00E9385E" w:rsidR="000C4043" w:rsidP="0003506A" w:rsidRDefault="00834CC0" w14:paraId="187D30B6" wp14:textId="77777777">
            <w:pPr>
              <w:pStyle w:val="ListParagraph"/>
              <w:numPr>
                <w:ilvl w:val="0"/>
                <w:numId w:val="2"/>
              </w:numPr>
              <w:spacing w:after="0" w:line="240" w:lineRule="auto"/>
              <w:rPr>
                <w:sz w:val="24"/>
                <w:szCs w:val="24"/>
              </w:rPr>
            </w:pPr>
            <w:r w:rsidRPr="00E9385E">
              <w:rPr>
                <w:sz w:val="24"/>
                <w:szCs w:val="24"/>
              </w:rPr>
              <w:t xml:space="preserve">Public Employers in Washington State can participate in various state sponsored pension programs.   Given the work performed by the Authority, if the </w:t>
            </w:r>
            <w:r w:rsidR="006F09C6">
              <w:rPr>
                <w:sz w:val="24"/>
                <w:szCs w:val="24"/>
              </w:rPr>
              <w:t>Authority</w:t>
            </w:r>
            <w:r w:rsidRPr="00E9385E">
              <w:rPr>
                <w:sz w:val="24"/>
                <w:szCs w:val="24"/>
              </w:rPr>
              <w:t xml:space="preserve"> decides to participate, Authority employees would be part of the Public Employee’s Retirement System (PERS).  PERS offers a mix of plans, including a defined benefit plan (PERS 2) and a mix</w:t>
            </w:r>
            <w:r w:rsidR="006F09C6">
              <w:rPr>
                <w:sz w:val="24"/>
                <w:szCs w:val="24"/>
              </w:rPr>
              <w:t>ed</w:t>
            </w:r>
            <w:r w:rsidRPr="00E9385E">
              <w:rPr>
                <w:sz w:val="24"/>
                <w:szCs w:val="24"/>
              </w:rPr>
              <w:t xml:space="preserve"> defined benefit and contribution plan (PERS 3).   The default plan for a new employee at the Authority would be PERS 2.   </w:t>
            </w:r>
            <w:r w:rsidRPr="00E9385E" w:rsidR="00436726">
              <w:rPr>
                <w:sz w:val="24"/>
                <w:szCs w:val="24"/>
              </w:rPr>
              <w:t>However, employees would also have the option of enrolling in PERS 3.</w:t>
            </w:r>
            <w:r w:rsidRPr="00E9385E" w:rsidR="000C4043">
              <w:rPr>
                <w:sz w:val="24"/>
                <w:szCs w:val="24"/>
              </w:rPr>
              <w:t xml:space="preserve">  </w:t>
            </w:r>
          </w:p>
          <w:p w:rsidRPr="00E9385E" w:rsidR="00436726" w:rsidP="0003506A" w:rsidRDefault="00436726" w14:paraId="1506808E" wp14:textId="77777777">
            <w:pPr>
              <w:pStyle w:val="ListParagraph"/>
              <w:numPr>
                <w:ilvl w:val="1"/>
                <w:numId w:val="2"/>
              </w:numPr>
              <w:spacing w:after="0" w:line="240" w:lineRule="auto"/>
              <w:rPr>
                <w:sz w:val="24"/>
                <w:szCs w:val="24"/>
              </w:rPr>
            </w:pPr>
            <w:r w:rsidRPr="00E9385E">
              <w:rPr>
                <w:sz w:val="24"/>
                <w:szCs w:val="24"/>
              </w:rPr>
              <w:t>Costs:  The current contribution rates for PERS 2 are 7.90% for employees and 12.86% for employers.</w:t>
            </w:r>
          </w:p>
          <w:p w:rsidRPr="00E9385E" w:rsidR="00436726" w:rsidP="00436726" w:rsidRDefault="00436726" w14:paraId="4E059004" wp14:textId="77777777">
            <w:pPr>
              <w:pStyle w:val="ListParagraph"/>
              <w:numPr>
                <w:ilvl w:val="1"/>
                <w:numId w:val="2"/>
              </w:numPr>
              <w:spacing w:after="0" w:line="240" w:lineRule="auto"/>
              <w:rPr>
                <w:sz w:val="24"/>
                <w:szCs w:val="24"/>
              </w:rPr>
            </w:pPr>
            <w:r w:rsidRPr="00E9385E">
              <w:rPr>
                <w:sz w:val="24"/>
                <w:szCs w:val="24"/>
              </w:rPr>
              <w:t>Program</w:t>
            </w:r>
            <w:r w:rsidR="006F09C6">
              <w:rPr>
                <w:sz w:val="24"/>
                <w:szCs w:val="24"/>
              </w:rPr>
              <w:t>.   Generally,</w:t>
            </w:r>
            <w:r w:rsidRPr="00E9385E">
              <w:rPr>
                <w:sz w:val="24"/>
                <w:szCs w:val="24"/>
              </w:rPr>
              <w:t xml:space="preserve"> PERS 2 has a benefit equal to 2 percent X number of years X highest paid 60 months.   As an example</w:t>
            </w:r>
            <w:r w:rsidRPr="00E9385E" w:rsidR="00E9385E">
              <w:rPr>
                <w:sz w:val="24"/>
                <w:szCs w:val="24"/>
              </w:rPr>
              <w:t>, assume</w:t>
            </w:r>
            <w:r w:rsidRPr="00E9385E">
              <w:rPr>
                <w:sz w:val="24"/>
                <w:szCs w:val="24"/>
              </w:rPr>
              <w:t xml:space="preserve"> an employee</w:t>
            </w:r>
            <w:r w:rsidR="006F09C6">
              <w:rPr>
                <w:sz w:val="24"/>
                <w:szCs w:val="24"/>
              </w:rPr>
              <w:t>’s</w:t>
            </w:r>
            <w:r w:rsidRPr="00E9385E">
              <w:rPr>
                <w:sz w:val="24"/>
                <w:szCs w:val="24"/>
              </w:rPr>
              <w:t xml:space="preserve"> highest paid 60 months are the last 5 years the employee is in the system.   Assume that employee averaged earnings of $10</w:t>
            </w:r>
            <w:r w:rsidR="006F09C6">
              <w:rPr>
                <w:sz w:val="24"/>
                <w:szCs w:val="24"/>
              </w:rPr>
              <w:t xml:space="preserve">0,000 a year during that time. </w:t>
            </w:r>
            <w:r w:rsidRPr="00E9385E">
              <w:rPr>
                <w:sz w:val="24"/>
                <w:szCs w:val="24"/>
              </w:rPr>
              <w:t xml:space="preserve">  If the employee retired with 30 years in the system, the employee would receive a pension benefit of $60,000 a year.   </w:t>
            </w:r>
            <w:r w:rsidRPr="00E9385E" w:rsidR="00E9385E">
              <w:rPr>
                <w:sz w:val="24"/>
                <w:szCs w:val="24"/>
              </w:rPr>
              <w:t>(2</w:t>
            </w:r>
            <w:r w:rsidRPr="00E9385E">
              <w:rPr>
                <w:sz w:val="24"/>
                <w:szCs w:val="24"/>
              </w:rPr>
              <w:t xml:space="preserve"> percent times 30 years = 60 percent of average annual salary of $100,000 = $60,000).</w:t>
            </w:r>
          </w:p>
          <w:p w:rsidRPr="00E9385E" w:rsidR="000C4043" w:rsidP="00436726" w:rsidRDefault="00436726" w14:paraId="1B6403F2" wp14:textId="77777777">
            <w:pPr>
              <w:pStyle w:val="ListParagraph"/>
              <w:numPr>
                <w:ilvl w:val="1"/>
                <w:numId w:val="2"/>
              </w:numPr>
              <w:spacing w:after="0" w:line="240" w:lineRule="auto"/>
              <w:rPr>
                <w:sz w:val="24"/>
                <w:szCs w:val="24"/>
              </w:rPr>
            </w:pPr>
            <w:r w:rsidRPr="00E9385E">
              <w:rPr>
                <w:sz w:val="24"/>
                <w:szCs w:val="24"/>
              </w:rPr>
              <w:t xml:space="preserve">Pros:  </w:t>
            </w:r>
            <w:r w:rsidRPr="00E9385E" w:rsidR="00E9385E">
              <w:rPr>
                <w:sz w:val="24"/>
                <w:szCs w:val="24"/>
              </w:rPr>
              <w:t>Participation</w:t>
            </w:r>
            <w:r w:rsidRPr="00E9385E">
              <w:rPr>
                <w:sz w:val="24"/>
                <w:szCs w:val="24"/>
              </w:rPr>
              <w:t xml:space="preserve"> in PERS provides a significant retirement benefit for employees. </w:t>
            </w:r>
            <w:r w:rsidRPr="00E9385E" w:rsidR="00E9385E">
              <w:rPr>
                <w:sz w:val="24"/>
                <w:szCs w:val="24"/>
              </w:rPr>
              <w:t>Participation</w:t>
            </w:r>
            <w:r w:rsidRPr="00E9385E" w:rsidR="00602D1A">
              <w:rPr>
                <w:sz w:val="24"/>
                <w:szCs w:val="24"/>
              </w:rPr>
              <w:t xml:space="preserve"> is the norm in the industry.</w:t>
            </w:r>
            <w:r w:rsidRPr="00E9385E">
              <w:rPr>
                <w:sz w:val="24"/>
                <w:szCs w:val="24"/>
              </w:rPr>
              <w:t xml:space="preserve">  It also acts as an important recruiting tool   Public sector employees generally trade off lower annual salaries for more generous pension benefits.   Potential employees will </w:t>
            </w:r>
            <w:r w:rsidRPr="00E9385E" w:rsidR="00E9385E">
              <w:rPr>
                <w:sz w:val="24"/>
                <w:szCs w:val="24"/>
              </w:rPr>
              <w:t>expect to</w:t>
            </w:r>
            <w:r w:rsidRPr="00E9385E" w:rsidR="00602D1A">
              <w:rPr>
                <w:sz w:val="24"/>
                <w:szCs w:val="24"/>
              </w:rPr>
              <w:t xml:space="preserve"> participate in the system.</w:t>
            </w:r>
          </w:p>
          <w:p w:rsidRPr="00E9385E" w:rsidR="00602D1A" w:rsidP="00436726" w:rsidRDefault="00602D1A" w14:paraId="2627F23C" wp14:textId="77777777">
            <w:pPr>
              <w:pStyle w:val="ListParagraph"/>
              <w:numPr>
                <w:ilvl w:val="1"/>
                <w:numId w:val="2"/>
              </w:numPr>
              <w:spacing w:after="0" w:line="240" w:lineRule="auto"/>
              <w:rPr>
                <w:sz w:val="24"/>
                <w:szCs w:val="24"/>
              </w:rPr>
            </w:pPr>
            <w:r w:rsidRPr="00E9385E">
              <w:rPr>
                <w:sz w:val="24"/>
                <w:szCs w:val="24"/>
              </w:rPr>
              <w:t>Cons:  The employer contribution add</w:t>
            </w:r>
            <w:r w:rsidR="006F09C6">
              <w:rPr>
                <w:sz w:val="24"/>
                <w:szCs w:val="24"/>
              </w:rPr>
              <w:t>s</w:t>
            </w:r>
            <w:r w:rsidRPr="00E9385E">
              <w:rPr>
                <w:sz w:val="24"/>
                <w:szCs w:val="24"/>
              </w:rPr>
              <w:t xml:space="preserve"> </w:t>
            </w:r>
            <w:r w:rsidR="006F09C6">
              <w:rPr>
                <w:sz w:val="24"/>
                <w:szCs w:val="24"/>
              </w:rPr>
              <w:t>to the cost of labor.   A decision to not</w:t>
            </w:r>
            <w:r w:rsidRPr="00E9385E">
              <w:rPr>
                <w:sz w:val="24"/>
                <w:szCs w:val="24"/>
              </w:rPr>
              <w:t xml:space="preserve"> participate would like</w:t>
            </w:r>
            <w:r w:rsidR="006F09C6">
              <w:rPr>
                <w:sz w:val="24"/>
                <w:szCs w:val="24"/>
              </w:rPr>
              <w:t>ly</w:t>
            </w:r>
            <w:r w:rsidRPr="00E9385E">
              <w:rPr>
                <w:sz w:val="24"/>
                <w:szCs w:val="24"/>
              </w:rPr>
              <w:t xml:space="preserve"> require higher wages to attract potential employees.</w:t>
            </w:r>
          </w:p>
          <w:p w:rsidR="00602D1A" w:rsidP="00436726" w:rsidRDefault="00E9385E" w14:paraId="66868FD3" wp14:textId="77777777">
            <w:pPr>
              <w:pStyle w:val="ListParagraph"/>
              <w:numPr>
                <w:ilvl w:val="1"/>
                <w:numId w:val="2"/>
              </w:numPr>
              <w:spacing w:after="0" w:line="240" w:lineRule="auto"/>
            </w:pPr>
            <w:r w:rsidRPr="00E9385E">
              <w:rPr>
                <w:sz w:val="24"/>
                <w:szCs w:val="24"/>
              </w:rPr>
              <w:t>Recommendation.</w:t>
            </w:r>
            <w:r w:rsidRPr="00E9385E" w:rsidR="00602D1A">
              <w:rPr>
                <w:sz w:val="24"/>
                <w:szCs w:val="24"/>
              </w:rPr>
              <w:t xml:space="preserve">  The workgroup recommends the Authority direct staff to take those actions necessary to </w:t>
            </w:r>
            <w:r w:rsidRPr="00E9385E" w:rsidR="00602D1A">
              <w:rPr>
                <w:sz w:val="24"/>
                <w:szCs w:val="24"/>
              </w:rPr>
              <w:lastRenderedPageBreak/>
              <w:t>allow Authority employee participation in the PERS system.</w:t>
            </w:r>
          </w:p>
        </w:tc>
      </w:tr>
    </w:tbl>
    <w:p xmlns:wp14="http://schemas.microsoft.com/office/word/2010/wordml" w:rsidR="004B50D1" w:rsidRDefault="004B50D1" w14:paraId="5DAB6C7B" wp14:textId="77777777"/>
    <w:sectPr w:rsidR="004B50D1">
      <w:pgSz w:w="12240" w:h="15840" w:orient="portrait"/>
      <w:pgMar w:top="1440" w:right="1440" w:bottom="1440" w:left="1440" w:header="720" w:footer="720" w:gutter="0"/>
      <w:cols w:space="720"/>
      <w:docGrid w:linePitch="360"/>
      <w:headerReference w:type="default" r:id="Rf974bdaaf95d40af"/>
      <w:footerReference w:type="default" r:id="R8c53cf273c9c4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319F88" w:rsidTr="5F319F88" w14:paraId="4BA23935">
      <w:tc>
        <w:tcPr>
          <w:tcW w:w="3120" w:type="dxa"/>
          <w:tcMar/>
        </w:tcPr>
        <w:p w:rsidR="5F319F88" w:rsidP="5F319F88" w:rsidRDefault="5F319F88" w14:paraId="6C12EC55" w14:textId="37F0DA21">
          <w:pPr>
            <w:pStyle w:val="Header"/>
            <w:bidi w:val="0"/>
            <w:ind w:left="-115"/>
            <w:jc w:val="left"/>
          </w:pPr>
        </w:p>
      </w:tc>
      <w:tc>
        <w:tcPr>
          <w:tcW w:w="3120" w:type="dxa"/>
          <w:tcMar/>
        </w:tcPr>
        <w:p w:rsidR="5F319F88" w:rsidP="5F319F88" w:rsidRDefault="5F319F88" w14:paraId="28A7FF22" w14:textId="3948453D">
          <w:pPr>
            <w:pStyle w:val="Header"/>
            <w:bidi w:val="0"/>
            <w:jc w:val="center"/>
          </w:pPr>
        </w:p>
      </w:tc>
      <w:tc>
        <w:tcPr>
          <w:tcW w:w="3120" w:type="dxa"/>
          <w:tcMar/>
        </w:tcPr>
        <w:p w:rsidR="5F319F88" w:rsidP="5F319F88" w:rsidRDefault="5F319F88" w14:paraId="73FED775" w14:textId="3746C869">
          <w:pPr>
            <w:pStyle w:val="Header"/>
            <w:bidi w:val="0"/>
            <w:ind w:right="-115"/>
            <w:jc w:val="right"/>
          </w:pPr>
        </w:p>
      </w:tc>
    </w:tr>
  </w:tbl>
  <w:p w:rsidR="5F319F88" w:rsidP="5F319F88" w:rsidRDefault="5F319F88" w14:paraId="376C1AB3" w14:textId="4F14164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319F88" w:rsidTr="5F319F88" w14:paraId="7B073662">
      <w:tc>
        <w:tcPr>
          <w:tcW w:w="3120" w:type="dxa"/>
          <w:tcMar/>
        </w:tcPr>
        <w:p w:rsidR="5F319F88" w:rsidP="5F319F88" w:rsidRDefault="5F319F88" w14:paraId="580214A5" w14:textId="61EBCB86">
          <w:pPr>
            <w:pStyle w:val="Header"/>
            <w:bidi w:val="0"/>
            <w:ind w:left="-115"/>
            <w:jc w:val="left"/>
          </w:pPr>
        </w:p>
      </w:tc>
      <w:tc>
        <w:tcPr>
          <w:tcW w:w="3120" w:type="dxa"/>
          <w:tcMar/>
        </w:tcPr>
        <w:p w:rsidR="5F319F88" w:rsidP="5F319F88" w:rsidRDefault="5F319F88" w14:paraId="51872901" w14:textId="0D25F2D9">
          <w:pPr>
            <w:pStyle w:val="Header"/>
            <w:bidi w:val="0"/>
            <w:jc w:val="center"/>
          </w:pPr>
        </w:p>
      </w:tc>
      <w:tc>
        <w:tcPr>
          <w:tcW w:w="3120" w:type="dxa"/>
          <w:tcMar/>
        </w:tcPr>
        <w:p w:rsidR="5F319F88" w:rsidP="5F319F88" w:rsidRDefault="5F319F88" w14:paraId="6086DF48" w14:textId="2E17FF8A">
          <w:pPr>
            <w:pStyle w:val="Header"/>
            <w:bidi w:val="0"/>
            <w:ind w:right="-115"/>
            <w:jc w:val="right"/>
          </w:pPr>
          <w:r w:rsidR="5F319F88">
            <w:rPr/>
            <w:t xml:space="preserve">Draft for Deliberation </w:t>
          </w:r>
        </w:p>
        <w:p w:rsidR="5F319F88" w:rsidP="5F319F88" w:rsidRDefault="5F319F88" w14:paraId="15CB15C1" w14:textId="0A2C9F97">
          <w:pPr>
            <w:pStyle w:val="Header"/>
            <w:bidi w:val="0"/>
            <w:ind w:right="-115"/>
            <w:jc w:val="right"/>
          </w:pPr>
          <w:r w:rsidR="5F319F88">
            <w:rPr/>
            <w:t>August 24, 2020</w:t>
          </w:r>
        </w:p>
      </w:tc>
    </w:tr>
  </w:tbl>
  <w:p w:rsidR="5F319F88" w:rsidP="5F319F88" w:rsidRDefault="5F319F88" w14:paraId="11EC07C6" w14:textId="5C294E4C">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57021"/>
    <w:multiLevelType w:val="hybridMultilevel"/>
    <w:tmpl w:val="C7D4B6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6D654AC"/>
    <w:multiLevelType w:val="hybridMultilevel"/>
    <w:tmpl w:val="F6581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43"/>
    <w:rsid w:val="0008500F"/>
    <w:rsid w:val="000C4043"/>
    <w:rsid w:val="001A483D"/>
    <w:rsid w:val="00267F12"/>
    <w:rsid w:val="00436726"/>
    <w:rsid w:val="00467C9D"/>
    <w:rsid w:val="004B50D1"/>
    <w:rsid w:val="00602D1A"/>
    <w:rsid w:val="006F09C6"/>
    <w:rsid w:val="00834CC0"/>
    <w:rsid w:val="009545E2"/>
    <w:rsid w:val="00E9385E"/>
    <w:rsid w:val="4223813A"/>
    <w:rsid w:val="5F319F88"/>
    <w:rsid w:val="6E68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C53CA-C9F6-4B58-8471-91765EC1B214}"/>
  <w14:docId w14:val="1894F9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4043"/>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C4043"/>
    <w:pPr>
      <w:spacing w:before="12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404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0C4043"/>
    <w:pPr>
      <w:spacing w:before="120" w:after="60"/>
      <w:ind w:left="720"/>
    </w:pPr>
  </w:style>
  <w:style w:type="table" w:styleId="TableGrid">
    <w:name w:val="Table Grid"/>
    <w:basedOn w:val="TableNormal"/>
    <w:uiPriority w:val="59"/>
    <w:rsid w:val="000C4043"/>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f974bdaaf95d40af" /><Relationship Type="http://schemas.openxmlformats.org/officeDocument/2006/relationships/footer" Target="/word/footer.xml" Id="R8c53cf273c9c45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Hayes, Richard</dc:creator>
  <keywords/>
  <dc:description/>
  <lastModifiedBy>Plumacher, Sola</lastModifiedBy>
  <revision>3</revision>
  <dcterms:created xsi:type="dcterms:W3CDTF">2020-08-13T23:18:00.0000000Z</dcterms:created>
  <dcterms:modified xsi:type="dcterms:W3CDTF">2020-08-18T20:42:35.4484198Z</dcterms:modified>
</coreProperties>
</file>