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6CE92" w14:textId="77777777" w:rsidR="00442177" w:rsidRPr="00576876" w:rsidRDefault="00442177" w:rsidP="00442177">
      <w:pPr>
        <w:pStyle w:val="Title"/>
        <w:rPr>
          <w:rFonts w:asciiTheme="minorHAnsi" w:hAnsiTheme="minorHAnsi"/>
          <w:sz w:val="20"/>
        </w:rPr>
      </w:pPr>
      <w:r w:rsidRPr="00576876">
        <w:rPr>
          <w:rFonts w:asciiTheme="minorHAnsi" w:hAnsiTheme="minorHAnsi"/>
          <w:sz w:val="20"/>
        </w:rPr>
        <w:t>King County Consolidated Homeless Grant (CHG)</w:t>
      </w:r>
    </w:p>
    <w:p w14:paraId="229F753B" w14:textId="77777777" w:rsidR="00442177" w:rsidRPr="00576876" w:rsidRDefault="00442177" w:rsidP="00442177">
      <w:pPr>
        <w:pStyle w:val="Title"/>
        <w:rPr>
          <w:rFonts w:asciiTheme="minorHAnsi" w:hAnsiTheme="minorHAnsi"/>
          <w:sz w:val="32"/>
          <w:szCs w:val="32"/>
        </w:rPr>
      </w:pPr>
      <w:r w:rsidRPr="00E52BA6">
        <w:rPr>
          <w:rFonts w:asciiTheme="minorHAnsi" w:hAnsiTheme="minorHAnsi"/>
          <w:sz w:val="32"/>
          <w:szCs w:val="32"/>
        </w:rPr>
        <w:t>Rent Limits Checklist and Certification</w:t>
      </w:r>
      <w:r w:rsidRPr="00576876">
        <w:rPr>
          <w:rFonts w:asciiTheme="minorHAnsi" w:hAnsiTheme="minorHAnsi"/>
          <w:sz w:val="32"/>
          <w:szCs w:val="32"/>
        </w:rPr>
        <w:t xml:space="preserve"> </w:t>
      </w:r>
    </w:p>
    <w:p w14:paraId="5A612921" w14:textId="77777777" w:rsidR="00442177" w:rsidRPr="005679EE" w:rsidRDefault="00442177" w:rsidP="00442177">
      <w:pPr>
        <w:pStyle w:val="Title"/>
        <w:rPr>
          <w:rFonts w:asciiTheme="minorHAnsi" w:hAnsiTheme="minorHAnsi"/>
        </w:rPr>
      </w:pPr>
    </w:p>
    <w:p w14:paraId="5C73C8E1" w14:textId="77777777" w:rsidR="00442177" w:rsidRPr="00744AAA" w:rsidRDefault="00442177" w:rsidP="00442177">
      <w:pPr>
        <w:pStyle w:val="Title"/>
        <w:jc w:val="left"/>
        <w:rPr>
          <w:rFonts w:asciiTheme="minorHAnsi" w:hAnsiTheme="minorHAnsi"/>
        </w:rPr>
      </w:pPr>
      <w:r w:rsidRPr="00744AAA">
        <w:rPr>
          <w:rFonts w:asciiTheme="minorHAnsi" w:hAnsiTheme="minorHAnsi"/>
        </w:rPr>
        <w:t>Client Name and/or Identifier:  _______________________________</w:t>
      </w:r>
      <w:r>
        <w:rPr>
          <w:rFonts w:asciiTheme="minorHAnsi" w:hAnsiTheme="minorHAnsi"/>
        </w:rPr>
        <w:t>________________</w:t>
      </w:r>
      <w:r w:rsidRPr="00744AAA">
        <w:rPr>
          <w:rFonts w:asciiTheme="minorHAnsi" w:hAnsiTheme="minorHAnsi"/>
        </w:rPr>
        <w:t>_________</w:t>
      </w:r>
    </w:p>
    <w:p w14:paraId="60EE3D2C" w14:textId="77777777" w:rsidR="00442177" w:rsidRPr="005679EE" w:rsidRDefault="00442177" w:rsidP="00442177">
      <w:pPr>
        <w:tabs>
          <w:tab w:val="left" w:pos="-1440"/>
          <w:tab w:val="left" w:pos="-720"/>
        </w:tabs>
        <w:suppressAutoHyphens/>
        <w:ind w:left="720" w:right="720"/>
        <w:rPr>
          <w:rFonts w:asciiTheme="minorHAnsi" w:hAnsiTheme="minorHAnsi"/>
          <w:b/>
          <w:smallCaps/>
        </w:rPr>
      </w:pPr>
    </w:p>
    <w:tbl>
      <w:tblPr>
        <w:tblW w:w="9600" w:type="dxa"/>
        <w:tblInd w:w="480" w:type="dxa"/>
        <w:tblBorders>
          <w:top w:val="double" w:sz="12" w:space="0" w:color="auto"/>
          <w:left w:val="double" w:sz="12" w:space="0" w:color="auto"/>
          <w:bottom w:val="double" w:sz="12" w:space="0" w:color="auto"/>
          <w:right w:val="double" w:sz="12" w:space="0" w:color="auto"/>
          <w:insideV w:val="single" w:sz="4" w:space="0" w:color="auto"/>
        </w:tblBorders>
        <w:tblLayout w:type="fixed"/>
        <w:tblCellMar>
          <w:left w:w="120" w:type="dxa"/>
          <w:right w:w="120" w:type="dxa"/>
        </w:tblCellMar>
        <w:tblLook w:val="0000" w:firstRow="0" w:lastRow="0" w:firstColumn="0" w:lastColumn="0" w:noHBand="0" w:noVBand="0"/>
      </w:tblPr>
      <w:tblGrid>
        <w:gridCol w:w="3570"/>
        <w:gridCol w:w="2910"/>
        <w:gridCol w:w="1560"/>
        <w:gridCol w:w="1560"/>
      </w:tblGrid>
      <w:tr w:rsidR="00442177" w:rsidRPr="005679EE" w14:paraId="55F47E87" w14:textId="77777777" w:rsidTr="00576876">
        <w:tc>
          <w:tcPr>
            <w:tcW w:w="3570" w:type="dxa"/>
            <w:tcBorders>
              <w:top w:val="double" w:sz="12" w:space="0" w:color="auto"/>
              <w:bottom w:val="single" w:sz="4" w:space="0" w:color="auto"/>
            </w:tcBorders>
            <w:shd w:val="clear" w:color="auto" w:fill="D9D9D9"/>
          </w:tcPr>
          <w:p w14:paraId="2EADAE3B" w14:textId="77777777" w:rsidR="00442177" w:rsidRPr="008E6040" w:rsidRDefault="00442177" w:rsidP="00D028E1">
            <w:pPr>
              <w:rPr>
                <w:rFonts w:asciiTheme="minorHAnsi" w:hAnsiTheme="minorHAnsi"/>
              </w:rPr>
            </w:pPr>
          </w:p>
        </w:tc>
        <w:tc>
          <w:tcPr>
            <w:tcW w:w="2910" w:type="dxa"/>
            <w:tcBorders>
              <w:top w:val="double" w:sz="12" w:space="0" w:color="auto"/>
              <w:bottom w:val="single" w:sz="4" w:space="0" w:color="auto"/>
              <w:right w:val="double" w:sz="12" w:space="0" w:color="auto"/>
            </w:tcBorders>
          </w:tcPr>
          <w:p w14:paraId="5801E0D4" w14:textId="77777777" w:rsidR="00442177" w:rsidRPr="00144D17" w:rsidRDefault="00442177" w:rsidP="00D028E1">
            <w:pPr>
              <w:jc w:val="center"/>
              <w:rPr>
                <w:rFonts w:asciiTheme="minorHAnsi" w:hAnsiTheme="minorHAnsi"/>
                <w:b/>
              </w:rPr>
            </w:pPr>
            <w:r w:rsidRPr="00144D17">
              <w:rPr>
                <w:rFonts w:asciiTheme="minorHAnsi" w:hAnsiTheme="minorHAnsi"/>
                <w:b/>
              </w:rPr>
              <w:t>Proposed Unit</w:t>
            </w:r>
          </w:p>
        </w:tc>
        <w:tc>
          <w:tcPr>
            <w:tcW w:w="1560" w:type="dxa"/>
            <w:tcBorders>
              <w:top w:val="double" w:sz="12" w:space="0" w:color="auto"/>
              <w:left w:val="double" w:sz="12" w:space="0" w:color="auto"/>
              <w:bottom w:val="single" w:sz="4" w:space="0" w:color="auto"/>
            </w:tcBorders>
            <w:shd w:val="clear" w:color="auto" w:fill="D9D9D9"/>
          </w:tcPr>
          <w:p w14:paraId="5B1B0539" w14:textId="77777777" w:rsidR="00442177" w:rsidRPr="008E6040" w:rsidRDefault="00442177" w:rsidP="00D028E1">
            <w:pPr>
              <w:jc w:val="center"/>
              <w:rPr>
                <w:rFonts w:asciiTheme="minorHAnsi" w:hAnsiTheme="minorHAnsi"/>
              </w:rPr>
            </w:pPr>
            <w:r w:rsidRPr="008E6040">
              <w:rPr>
                <w:rFonts w:asciiTheme="minorHAnsi" w:hAnsiTheme="minorHAnsi"/>
              </w:rPr>
              <w:t>Sample 1</w:t>
            </w:r>
          </w:p>
        </w:tc>
        <w:tc>
          <w:tcPr>
            <w:tcW w:w="1560" w:type="dxa"/>
            <w:tcBorders>
              <w:top w:val="double" w:sz="12" w:space="0" w:color="auto"/>
              <w:bottom w:val="single" w:sz="4" w:space="0" w:color="auto"/>
            </w:tcBorders>
            <w:shd w:val="clear" w:color="auto" w:fill="D9D9D9"/>
          </w:tcPr>
          <w:p w14:paraId="36A43E3D" w14:textId="77777777" w:rsidR="00442177" w:rsidRPr="008E6040" w:rsidRDefault="00442177" w:rsidP="00D028E1">
            <w:pPr>
              <w:jc w:val="center"/>
              <w:rPr>
                <w:rFonts w:asciiTheme="minorHAnsi" w:hAnsiTheme="minorHAnsi"/>
              </w:rPr>
            </w:pPr>
            <w:r w:rsidRPr="008E6040">
              <w:rPr>
                <w:rFonts w:asciiTheme="minorHAnsi" w:hAnsiTheme="minorHAnsi"/>
              </w:rPr>
              <w:t>Sample 2</w:t>
            </w:r>
          </w:p>
        </w:tc>
      </w:tr>
      <w:tr w:rsidR="00442177" w:rsidRPr="005679EE" w14:paraId="148114D6" w14:textId="77777777" w:rsidTr="00576876">
        <w:tc>
          <w:tcPr>
            <w:tcW w:w="3570" w:type="dxa"/>
            <w:tcBorders>
              <w:top w:val="single" w:sz="4" w:space="0" w:color="auto"/>
              <w:bottom w:val="single" w:sz="4" w:space="0" w:color="auto"/>
            </w:tcBorders>
            <w:shd w:val="clear" w:color="auto" w:fill="D9D9D9"/>
          </w:tcPr>
          <w:p w14:paraId="1FA6EF1D" w14:textId="77777777" w:rsidR="00442177" w:rsidRPr="00072C3C" w:rsidRDefault="00940977" w:rsidP="00442177">
            <w:pPr>
              <w:pStyle w:val="ListParagraph"/>
              <w:numPr>
                <w:ilvl w:val="0"/>
                <w:numId w:val="2"/>
              </w:numPr>
              <w:rPr>
                <w:rFonts w:asciiTheme="minorHAnsi" w:hAnsiTheme="minorHAnsi"/>
                <w:sz w:val="22"/>
                <w:szCs w:val="22"/>
              </w:rPr>
            </w:pPr>
            <w:r>
              <w:rPr>
                <w:rFonts w:asciiTheme="minorHAnsi" w:hAnsiTheme="minorHAnsi"/>
                <w:sz w:val="22"/>
                <w:szCs w:val="22"/>
              </w:rPr>
              <w:t>Neighborhood</w:t>
            </w:r>
          </w:p>
        </w:tc>
        <w:tc>
          <w:tcPr>
            <w:tcW w:w="2910" w:type="dxa"/>
            <w:tcBorders>
              <w:top w:val="single" w:sz="4" w:space="0" w:color="auto"/>
              <w:bottom w:val="single" w:sz="4" w:space="0" w:color="auto"/>
              <w:right w:val="double" w:sz="12" w:space="0" w:color="auto"/>
            </w:tcBorders>
          </w:tcPr>
          <w:p w14:paraId="622FFEDB" w14:textId="77777777" w:rsidR="00442177" w:rsidRPr="008E6040" w:rsidRDefault="00442177" w:rsidP="00D028E1">
            <w:pPr>
              <w:jc w:val="center"/>
              <w:rPr>
                <w:rFonts w:asciiTheme="minorHAnsi" w:hAnsiTheme="minorHAnsi"/>
              </w:rPr>
            </w:pPr>
          </w:p>
        </w:tc>
        <w:tc>
          <w:tcPr>
            <w:tcW w:w="1560" w:type="dxa"/>
            <w:tcBorders>
              <w:top w:val="single" w:sz="4" w:space="0" w:color="auto"/>
              <w:left w:val="double" w:sz="12" w:space="0" w:color="auto"/>
              <w:bottom w:val="single" w:sz="4" w:space="0" w:color="auto"/>
            </w:tcBorders>
            <w:shd w:val="clear" w:color="auto" w:fill="D9D9D9"/>
            <w:vAlign w:val="center"/>
          </w:tcPr>
          <w:p w14:paraId="6650F0CC" w14:textId="77777777" w:rsidR="00442177" w:rsidRPr="008E6040" w:rsidRDefault="00940977" w:rsidP="00D028E1">
            <w:pPr>
              <w:jc w:val="center"/>
              <w:rPr>
                <w:rFonts w:asciiTheme="minorHAnsi" w:hAnsiTheme="minorHAnsi"/>
                <w:sz w:val="22"/>
                <w:szCs w:val="22"/>
              </w:rPr>
            </w:pPr>
            <w:r>
              <w:rPr>
                <w:rFonts w:asciiTheme="minorHAnsi" w:hAnsiTheme="minorHAnsi"/>
                <w:sz w:val="22"/>
                <w:szCs w:val="22"/>
              </w:rPr>
              <w:t>Bothell</w:t>
            </w:r>
            <w:r w:rsidR="00442177">
              <w:rPr>
                <w:rFonts w:asciiTheme="minorHAnsi" w:hAnsiTheme="minorHAnsi"/>
                <w:sz w:val="22"/>
                <w:szCs w:val="22"/>
              </w:rPr>
              <w:t xml:space="preserve"> </w:t>
            </w:r>
          </w:p>
        </w:tc>
        <w:tc>
          <w:tcPr>
            <w:tcW w:w="1560" w:type="dxa"/>
            <w:tcBorders>
              <w:top w:val="single" w:sz="4" w:space="0" w:color="auto"/>
              <w:bottom w:val="single" w:sz="4" w:space="0" w:color="auto"/>
            </w:tcBorders>
            <w:shd w:val="clear" w:color="auto" w:fill="D9D9D9"/>
            <w:vAlign w:val="center"/>
          </w:tcPr>
          <w:p w14:paraId="4A32A8C3" w14:textId="77777777" w:rsidR="00442177" w:rsidRPr="008E6040" w:rsidRDefault="00940977" w:rsidP="00D028E1">
            <w:pPr>
              <w:jc w:val="center"/>
              <w:rPr>
                <w:rFonts w:asciiTheme="minorHAnsi" w:hAnsiTheme="minorHAnsi"/>
                <w:sz w:val="22"/>
                <w:szCs w:val="22"/>
              </w:rPr>
            </w:pPr>
            <w:r>
              <w:rPr>
                <w:rFonts w:asciiTheme="minorHAnsi" w:hAnsiTheme="minorHAnsi"/>
                <w:sz w:val="22"/>
                <w:szCs w:val="22"/>
              </w:rPr>
              <w:t>Federal Way</w:t>
            </w:r>
          </w:p>
        </w:tc>
      </w:tr>
      <w:tr w:rsidR="00442177" w:rsidRPr="005679EE" w14:paraId="699ACD21" w14:textId="77777777" w:rsidTr="00576876">
        <w:tc>
          <w:tcPr>
            <w:tcW w:w="3570" w:type="dxa"/>
            <w:tcBorders>
              <w:top w:val="single" w:sz="4" w:space="0" w:color="auto"/>
              <w:bottom w:val="single" w:sz="4" w:space="0" w:color="auto"/>
            </w:tcBorders>
            <w:shd w:val="clear" w:color="auto" w:fill="D9D9D9"/>
          </w:tcPr>
          <w:p w14:paraId="370920F9" w14:textId="77777777" w:rsidR="00442177" w:rsidRPr="00072C3C" w:rsidRDefault="00442177" w:rsidP="00442177">
            <w:pPr>
              <w:pStyle w:val="ListParagraph"/>
              <w:numPr>
                <w:ilvl w:val="0"/>
                <w:numId w:val="2"/>
              </w:numPr>
              <w:rPr>
                <w:rFonts w:asciiTheme="minorHAnsi" w:hAnsiTheme="minorHAnsi"/>
                <w:sz w:val="22"/>
                <w:szCs w:val="22"/>
              </w:rPr>
            </w:pPr>
            <w:r w:rsidRPr="00072C3C">
              <w:rPr>
                <w:rFonts w:asciiTheme="minorHAnsi" w:hAnsiTheme="minorHAnsi"/>
                <w:sz w:val="22"/>
                <w:szCs w:val="22"/>
              </w:rPr>
              <w:t>Number of bedrooms</w:t>
            </w:r>
          </w:p>
        </w:tc>
        <w:tc>
          <w:tcPr>
            <w:tcW w:w="2910" w:type="dxa"/>
            <w:tcBorders>
              <w:top w:val="single" w:sz="4" w:space="0" w:color="auto"/>
              <w:bottom w:val="single" w:sz="4" w:space="0" w:color="auto"/>
              <w:right w:val="double" w:sz="12" w:space="0" w:color="auto"/>
            </w:tcBorders>
          </w:tcPr>
          <w:p w14:paraId="7442B204" w14:textId="77777777" w:rsidR="00442177" w:rsidRPr="008E6040" w:rsidRDefault="00442177" w:rsidP="00D028E1">
            <w:pPr>
              <w:jc w:val="center"/>
              <w:rPr>
                <w:rFonts w:asciiTheme="minorHAnsi" w:hAnsiTheme="minorHAnsi"/>
              </w:rPr>
            </w:pPr>
          </w:p>
        </w:tc>
        <w:tc>
          <w:tcPr>
            <w:tcW w:w="1560" w:type="dxa"/>
            <w:tcBorders>
              <w:top w:val="single" w:sz="4" w:space="0" w:color="auto"/>
              <w:left w:val="double" w:sz="12" w:space="0" w:color="auto"/>
              <w:bottom w:val="single" w:sz="4" w:space="0" w:color="auto"/>
            </w:tcBorders>
            <w:shd w:val="clear" w:color="auto" w:fill="D9D9D9"/>
            <w:vAlign w:val="center"/>
          </w:tcPr>
          <w:p w14:paraId="3DB4412F" w14:textId="77777777" w:rsidR="00442177" w:rsidRPr="008E6040" w:rsidRDefault="00442177" w:rsidP="00D028E1">
            <w:pPr>
              <w:jc w:val="center"/>
              <w:rPr>
                <w:rFonts w:asciiTheme="minorHAnsi" w:hAnsiTheme="minorHAnsi"/>
                <w:sz w:val="22"/>
                <w:szCs w:val="22"/>
              </w:rPr>
            </w:pPr>
            <w:r w:rsidRPr="008E6040">
              <w:rPr>
                <w:rFonts w:asciiTheme="minorHAnsi" w:hAnsiTheme="minorHAnsi"/>
                <w:sz w:val="22"/>
                <w:szCs w:val="22"/>
              </w:rPr>
              <w:t>2</w:t>
            </w:r>
          </w:p>
        </w:tc>
        <w:tc>
          <w:tcPr>
            <w:tcW w:w="1560" w:type="dxa"/>
            <w:tcBorders>
              <w:top w:val="single" w:sz="4" w:space="0" w:color="auto"/>
              <w:bottom w:val="single" w:sz="4" w:space="0" w:color="auto"/>
            </w:tcBorders>
            <w:shd w:val="clear" w:color="auto" w:fill="D9D9D9"/>
            <w:vAlign w:val="center"/>
          </w:tcPr>
          <w:p w14:paraId="47357A1F" w14:textId="77777777" w:rsidR="00442177" w:rsidRPr="008E6040" w:rsidRDefault="00442177" w:rsidP="00D028E1">
            <w:pPr>
              <w:jc w:val="center"/>
              <w:rPr>
                <w:rFonts w:asciiTheme="minorHAnsi" w:hAnsiTheme="minorHAnsi"/>
                <w:sz w:val="22"/>
                <w:szCs w:val="22"/>
              </w:rPr>
            </w:pPr>
            <w:r w:rsidRPr="008E6040">
              <w:rPr>
                <w:rFonts w:asciiTheme="minorHAnsi" w:hAnsiTheme="minorHAnsi"/>
                <w:sz w:val="22"/>
                <w:szCs w:val="22"/>
              </w:rPr>
              <w:t>3</w:t>
            </w:r>
          </w:p>
        </w:tc>
      </w:tr>
      <w:tr w:rsidR="00442177" w:rsidRPr="005679EE" w14:paraId="0FBEC809" w14:textId="77777777" w:rsidTr="00576876">
        <w:tc>
          <w:tcPr>
            <w:tcW w:w="3570" w:type="dxa"/>
            <w:tcBorders>
              <w:top w:val="single" w:sz="4" w:space="0" w:color="auto"/>
              <w:bottom w:val="single" w:sz="4" w:space="0" w:color="auto"/>
            </w:tcBorders>
            <w:shd w:val="clear" w:color="auto" w:fill="D9D9D9"/>
          </w:tcPr>
          <w:p w14:paraId="72BC4AF8" w14:textId="77777777" w:rsidR="00442177" w:rsidRPr="00072C3C" w:rsidRDefault="00442177" w:rsidP="00442177">
            <w:pPr>
              <w:pStyle w:val="ListParagraph"/>
              <w:numPr>
                <w:ilvl w:val="0"/>
                <w:numId w:val="2"/>
              </w:numPr>
              <w:rPr>
                <w:rFonts w:asciiTheme="minorHAnsi" w:hAnsiTheme="minorHAnsi"/>
                <w:sz w:val="22"/>
                <w:szCs w:val="22"/>
              </w:rPr>
            </w:pPr>
            <w:r w:rsidRPr="00072C3C">
              <w:rPr>
                <w:rFonts w:asciiTheme="minorHAnsi" w:hAnsiTheme="minorHAnsi"/>
                <w:sz w:val="22"/>
                <w:szCs w:val="22"/>
              </w:rPr>
              <w:t>Total unit rent *</w:t>
            </w:r>
          </w:p>
        </w:tc>
        <w:tc>
          <w:tcPr>
            <w:tcW w:w="2910" w:type="dxa"/>
            <w:tcBorders>
              <w:top w:val="single" w:sz="4" w:space="0" w:color="auto"/>
              <w:bottom w:val="single" w:sz="4" w:space="0" w:color="auto"/>
              <w:right w:val="double" w:sz="12" w:space="0" w:color="auto"/>
            </w:tcBorders>
          </w:tcPr>
          <w:p w14:paraId="3C950015" w14:textId="77777777" w:rsidR="00442177" w:rsidRPr="008E6040" w:rsidRDefault="00442177" w:rsidP="00D028E1">
            <w:pPr>
              <w:jc w:val="center"/>
              <w:rPr>
                <w:rFonts w:asciiTheme="minorHAnsi" w:hAnsiTheme="minorHAnsi"/>
              </w:rPr>
            </w:pPr>
          </w:p>
        </w:tc>
        <w:tc>
          <w:tcPr>
            <w:tcW w:w="1560" w:type="dxa"/>
            <w:tcBorders>
              <w:top w:val="single" w:sz="4" w:space="0" w:color="auto"/>
              <w:left w:val="double" w:sz="12" w:space="0" w:color="auto"/>
              <w:bottom w:val="single" w:sz="4" w:space="0" w:color="auto"/>
            </w:tcBorders>
            <w:shd w:val="clear" w:color="auto" w:fill="D9D9D9"/>
            <w:vAlign w:val="center"/>
          </w:tcPr>
          <w:p w14:paraId="3B31065D" w14:textId="77777777" w:rsidR="00442177" w:rsidRPr="008E6040" w:rsidRDefault="00E42EF0" w:rsidP="00D028E1">
            <w:pPr>
              <w:jc w:val="center"/>
              <w:rPr>
                <w:rFonts w:asciiTheme="minorHAnsi" w:hAnsiTheme="minorHAnsi"/>
                <w:sz w:val="22"/>
                <w:szCs w:val="22"/>
              </w:rPr>
            </w:pPr>
            <w:r>
              <w:rPr>
                <w:rFonts w:asciiTheme="minorHAnsi" w:hAnsiTheme="minorHAnsi"/>
                <w:sz w:val="22"/>
                <w:szCs w:val="22"/>
              </w:rPr>
              <w:t>1,200</w:t>
            </w:r>
          </w:p>
        </w:tc>
        <w:tc>
          <w:tcPr>
            <w:tcW w:w="1560" w:type="dxa"/>
            <w:tcBorders>
              <w:top w:val="single" w:sz="4" w:space="0" w:color="auto"/>
              <w:bottom w:val="single" w:sz="4" w:space="0" w:color="auto"/>
            </w:tcBorders>
            <w:shd w:val="clear" w:color="auto" w:fill="D9D9D9"/>
            <w:vAlign w:val="center"/>
          </w:tcPr>
          <w:p w14:paraId="62CDE45E" w14:textId="77777777" w:rsidR="00442177" w:rsidRPr="008E6040" w:rsidRDefault="00E42EF0" w:rsidP="00D028E1">
            <w:pPr>
              <w:jc w:val="center"/>
              <w:rPr>
                <w:rFonts w:asciiTheme="minorHAnsi" w:hAnsiTheme="minorHAnsi"/>
                <w:sz w:val="22"/>
                <w:szCs w:val="22"/>
              </w:rPr>
            </w:pPr>
            <w:r>
              <w:rPr>
                <w:rFonts w:asciiTheme="minorHAnsi" w:hAnsiTheme="minorHAnsi"/>
                <w:sz w:val="22"/>
                <w:szCs w:val="22"/>
              </w:rPr>
              <w:t>1,8</w:t>
            </w:r>
            <w:r w:rsidR="00442177" w:rsidRPr="008E6040">
              <w:rPr>
                <w:rFonts w:asciiTheme="minorHAnsi" w:hAnsiTheme="minorHAnsi"/>
                <w:sz w:val="22"/>
                <w:szCs w:val="22"/>
              </w:rPr>
              <w:t>00</w:t>
            </w:r>
          </w:p>
        </w:tc>
      </w:tr>
      <w:tr w:rsidR="00442177" w:rsidRPr="005679EE" w14:paraId="41730EEB" w14:textId="77777777" w:rsidTr="00576876">
        <w:tc>
          <w:tcPr>
            <w:tcW w:w="3570" w:type="dxa"/>
            <w:tcBorders>
              <w:top w:val="single" w:sz="4" w:space="0" w:color="auto"/>
              <w:bottom w:val="single" w:sz="4" w:space="0" w:color="auto"/>
            </w:tcBorders>
            <w:shd w:val="clear" w:color="auto" w:fill="D9D9D9"/>
          </w:tcPr>
          <w:p w14:paraId="250CCB9A" w14:textId="77777777" w:rsidR="00442177" w:rsidRPr="00072C3C" w:rsidRDefault="00442177" w:rsidP="00442177">
            <w:pPr>
              <w:pStyle w:val="ListParagraph"/>
              <w:numPr>
                <w:ilvl w:val="0"/>
                <w:numId w:val="2"/>
              </w:numPr>
              <w:rPr>
                <w:rFonts w:asciiTheme="minorHAnsi" w:hAnsiTheme="minorHAnsi"/>
                <w:sz w:val="22"/>
                <w:szCs w:val="22"/>
              </w:rPr>
            </w:pPr>
            <w:r w:rsidRPr="00072C3C">
              <w:rPr>
                <w:rFonts w:asciiTheme="minorHAnsi" w:hAnsiTheme="minorHAnsi"/>
                <w:sz w:val="22"/>
                <w:szCs w:val="22"/>
              </w:rPr>
              <w:t>Utilities included in rent amount above (y</w:t>
            </w:r>
            <w:r w:rsidR="00940977">
              <w:rPr>
                <w:rFonts w:asciiTheme="minorHAnsi" w:hAnsiTheme="minorHAnsi"/>
                <w:sz w:val="22"/>
                <w:szCs w:val="22"/>
              </w:rPr>
              <w:t>es</w:t>
            </w:r>
            <w:r w:rsidRPr="00072C3C">
              <w:rPr>
                <w:rFonts w:asciiTheme="minorHAnsi" w:hAnsiTheme="minorHAnsi"/>
                <w:sz w:val="22"/>
                <w:szCs w:val="22"/>
              </w:rPr>
              <w:t>/n</w:t>
            </w:r>
            <w:r w:rsidR="00940977">
              <w:rPr>
                <w:rFonts w:asciiTheme="minorHAnsi" w:hAnsiTheme="minorHAnsi"/>
                <w:sz w:val="22"/>
                <w:szCs w:val="22"/>
              </w:rPr>
              <w:t>o</w:t>
            </w:r>
            <w:r w:rsidRPr="00072C3C">
              <w:rPr>
                <w:rFonts w:asciiTheme="minorHAnsi" w:hAnsiTheme="minorHAnsi"/>
                <w:sz w:val="22"/>
                <w:szCs w:val="22"/>
              </w:rPr>
              <w:t>)</w:t>
            </w:r>
          </w:p>
        </w:tc>
        <w:tc>
          <w:tcPr>
            <w:tcW w:w="2910" w:type="dxa"/>
            <w:tcBorders>
              <w:top w:val="single" w:sz="4" w:space="0" w:color="auto"/>
              <w:bottom w:val="single" w:sz="4" w:space="0" w:color="auto"/>
              <w:right w:val="double" w:sz="12" w:space="0" w:color="auto"/>
            </w:tcBorders>
          </w:tcPr>
          <w:p w14:paraId="76EB8D9C" w14:textId="77777777" w:rsidR="00442177" w:rsidRPr="008E6040" w:rsidRDefault="00442177" w:rsidP="00D028E1">
            <w:pPr>
              <w:jc w:val="center"/>
              <w:rPr>
                <w:rFonts w:asciiTheme="minorHAnsi" w:hAnsiTheme="minorHAnsi"/>
              </w:rPr>
            </w:pPr>
          </w:p>
        </w:tc>
        <w:tc>
          <w:tcPr>
            <w:tcW w:w="1560" w:type="dxa"/>
            <w:tcBorders>
              <w:top w:val="single" w:sz="4" w:space="0" w:color="auto"/>
              <w:left w:val="double" w:sz="12" w:space="0" w:color="auto"/>
              <w:bottom w:val="single" w:sz="4" w:space="0" w:color="auto"/>
            </w:tcBorders>
            <w:shd w:val="clear" w:color="auto" w:fill="D9D9D9"/>
            <w:vAlign w:val="center"/>
          </w:tcPr>
          <w:p w14:paraId="45A4A27E" w14:textId="77777777" w:rsidR="00442177" w:rsidRPr="008E6040" w:rsidRDefault="00442177" w:rsidP="00D028E1">
            <w:pPr>
              <w:jc w:val="center"/>
              <w:rPr>
                <w:rFonts w:asciiTheme="minorHAnsi" w:hAnsiTheme="minorHAnsi"/>
                <w:sz w:val="22"/>
                <w:szCs w:val="22"/>
              </w:rPr>
            </w:pPr>
            <w:r w:rsidRPr="008E6040">
              <w:rPr>
                <w:rFonts w:asciiTheme="minorHAnsi" w:hAnsiTheme="minorHAnsi"/>
                <w:sz w:val="22"/>
                <w:szCs w:val="22"/>
              </w:rPr>
              <w:t>Yes</w:t>
            </w:r>
          </w:p>
        </w:tc>
        <w:tc>
          <w:tcPr>
            <w:tcW w:w="1560" w:type="dxa"/>
            <w:tcBorders>
              <w:top w:val="single" w:sz="4" w:space="0" w:color="auto"/>
              <w:bottom w:val="single" w:sz="4" w:space="0" w:color="auto"/>
            </w:tcBorders>
            <w:shd w:val="clear" w:color="auto" w:fill="D9D9D9"/>
            <w:vAlign w:val="center"/>
          </w:tcPr>
          <w:p w14:paraId="57FA8953" w14:textId="77777777" w:rsidR="00442177" w:rsidRPr="008E6040" w:rsidRDefault="00442177" w:rsidP="00D028E1">
            <w:pPr>
              <w:jc w:val="center"/>
              <w:rPr>
                <w:rFonts w:asciiTheme="minorHAnsi" w:hAnsiTheme="minorHAnsi"/>
                <w:sz w:val="22"/>
                <w:szCs w:val="22"/>
              </w:rPr>
            </w:pPr>
            <w:r w:rsidRPr="008E6040">
              <w:rPr>
                <w:rFonts w:asciiTheme="minorHAnsi" w:hAnsiTheme="minorHAnsi"/>
                <w:sz w:val="22"/>
                <w:szCs w:val="22"/>
              </w:rPr>
              <w:t>No</w:t>
            </w:r>
          </w:p>
        </w:tc>
      </w:tr>
      <w:tr w:rsidR="00442177" w:rsidRPr="005679EE" w14:paraId="5A211B3F" w14:textId="77777777" w:rsidTr="00576876">
        <w:tc>
          <w:tcPr>
            <w:tcW w:w="3570" w:type="dxa"/>
            <w:tcBorders>
              <w:top w:val="single" w:sz="4" w:space="0" w:color="auto"/>
              <w:bottom w:val="single" w:sz="4" w:space="0" w:color="auto"/>
            </w:tcBorders>
            <w:shd w:val="clear" w:color="auto" w:fill="D9D9D9"/>
          </w:tcPr>
          <w:p w14:paraId="76101812" w14:textId="77777777" w:rsidR="00442177" w:rsidRPr="00072C3C" w:rsidRDefault="00442177" w:rsidP="00D028E1">
            <w:pPr>
              <w:rPr>
                <w:rFonts w:asciiTheme="minorHAnsi" w:hAnsiTheme="minorHAnsi"/>
                <w:sz w:val="22"/>
                <w:szCs w:val="22"/>
              </w:rPr>
            </w:pPr>
          </w:p>
        </w:tc>
        <w:tc>
          <w:tcPr>
            <w:tcW w:w="2910" w:type="dxa"/>
            <w:tcBorders>
              <w:top w:val="single" w:sz="4" w:space="0" w:color="auto"/>
              <w:bottom w:val="single" w:sz="4" w:space="0" w:color="auto"/>
              <w:right w:val="double" w:sz="12" w:space="0" w:color="auto"/>
            </w:tcBorders>
          </w:tcPr>
          <w:p w14:paraId="62786E69" w14:textId="77777777" w:rsidR="00442177" w:rsidRPr="00144D17" w:rsidRDefault="00442177" w:rsidP="00D028E1">
            <w:pPr>
              <w:jc w:val="center"/>
              <w:rPr>
                <w:rFonts w:asciiTheme="minorHAnsi" w:hAnsiTheme="minorHAnsi"/>
                <w:b/>
              </w:rPr>
            </w:pPr>
            <w:r w:rsidRPr="00144D17">
              <w:rPr>
                <w:rFonts w:asciiTheme="minorHAnsi" w:hAnsiTheme="minorHAnsi"/>
                <w:b/>
              </w:rPr>
              <w:t>Rent Limit</w:t>
            </w:r>
          </w:p>
        </w:tc>
        <w:tc>
          <w:tcPr>
            <w:tcW w:w="1560" w:type="dxa"/>
            <w:tcBorders>
              <w:top w:val="single" w:sz="4" w:space="0" w:color="auto"/>
              <w:left w:val="double" w:sz="12" w:space="0" w:color="auto"/>
              <w:bottom w:val="single" w:sz="4" w:space="0" w:color="auto"/>
            </w:tcBorders>
            <w:shd w:val="clear" w:color="auto" w:fill="D9D9D9"/>
            <w:vAlign w:val="center"/>
          </w:tcPr>
          <w:p w14:paraId="4130A65C" w14:textId="77777777" w:rsidR="00442177" w:rsidRPr="008E6040" w:rsidRDefault="00442177" w:rsidP="00D028E1">
            <w:pPr>
              <w:jc w:val="center"/>
              <w:rPr>
                <w:rFonts w:asciiTheme="minorHAnsi" w:hAnsiTheme="minorHAnsi"/>
              </w:rPr>
            </w:pPr>
            <w:r w:rsidRPr="008E6040">
              <w:rPr>
                <w:rFonts w:asciiTheme="minorHAnsi" w:hAnsiTheme="minorHAnsi"/>
              </w:rPr>
              <w:t>Rent Limit</w:t>
            </w:r>
          </w:p>
        </w:tc>
        <w:tc>
          <w:tcPr>
            <w:tcW w:w="1560" w:type="dxa"/>
            <w:tcBorders>
              <w:top w:val="single" w:sz="4" w:space="0" w:color="auto"/>
              <w:bottom w:val="single" w:sz="4" w:space="0" w:color="auto"/>
            </w:tcBorders>
            <w:shd w:val="clear" w:color="auto" w:fill="D9D9D9"/>
            <w:vAlign w:val="center"/>
          </w:tcPr>
          <w:p w14:paraId="026AE6B3" w14:textId="77777777" w:rsidR="00442177" w:rsidRPr="008E6040" w:rsidRDefault="00442177" w:rsidP="00D028E1">
            <w:pPr>
              <w:jc w:val="center"/>
              <w:rPr>
                <w:rFonts w:asciiTheme="minorHAnsi" w:hAnsiTheme="minorHAnsi"/>
                <w:sz w:val="22"/>
                <w:szCs w:val="22"/>
              </w:rPr>
            </w:pPr>
            <w:r w:rsidRPr="008E6040">
              <w:rPr>
                <w:rFonts w:asciiTheme="minorHAnsi" w:hAnsiTheme="minorHAnsi"/>
              </w:rPr>
              <w:t>Rent Limit</w:t>
            </w:r>
          </w:p>
        </w:tc>
      </w:tr>
      <w:tr w:rsidR="00442177" w:rsidRPr="005679EE" w14:paraId="32306043" w14:textId="77777777" w:rsidTr="00576876">
        <w:tc>
          <w:tcPr>
            <w:tcW w:w="3570" w:type="dxa"/>
            <w:tcBorders>
              <w:top w:val="single" w:sz="4" w:space="0" w:color="auto"/>
              <w:bottom w:val="single" w:sz="4" w:space="0" w:color="auto"/>
            </w:tcBorders>
            <w:shd w:val="clear" w:color="auto" w:fill="D9D9D9"/>
          </w:tcPr>
          <w:p w14:paraId="431F1EE6" w14:textId="0BA770D2" w:rsidR="00442177" w:rsidRPr="00072C3C" w:rsidRDefault="00442177" w:rsidP="00940977">
            <w:pPr>
              <w:pStyle w:val="ListParagraph"/>
              <w:numPr>
                <w:ilvl w:val="0"/>
                <w:numId w:val="2"/>
              </w:numPr>
              <w:rPr>
                <w:rFonts w:asciiTheme="minorHAnsi" w:hAnsiTheme="minorHAnsi"/>
                <w:sz w:val="22"/>
                <w:szCs w:val="22"/>
              </w:rPr>
            </w:pPr>
            <w:r>
              <w:rPr>
                <w:rFonts w:asciiTheme="minorHAnsi" w:hAnsiTheme="minorHAnsi"/>
                <w:sz w:val="22"/>
                <w:szCs w:val="22"/>
              </w:rPr>
              <w:t xml:space="preserve">CHG rent limit for </w:t>
            </w:r>
            <w:r w:rsidR="00940977">
              <w:rPr>
                <w:rFonts w:asciiTheme="minorHAnsi" w:hAnsiTheme="minorHAnsi"/>
                <w:sz w:val="22"/>
                <w:szCs w:val="22"/>
              </w:rPr>
              <w:t>neighborhood</w:t>
            </w:r>
            <w:r w:rsidRPr="00072C3C">
              <w:rPr>
                <w:rFonts w:asciiTheme="minorHAnsi" w:hAnsiTheme="minorHAnsi"/>
                <w:sz w:val="22"/>
                <w:szCs w:val="22"/>
              </w:rPr>
              <w:t xml:space="preserve">/ </w:t>
            </w:r>
            <w:r w:rsidR="00940977">
              <w:rPr>
                <w:rFonts w:asciiTheme="minorHAnsi" w:hAnsiTheme="minorHAnsi"/>
                <w:sz w:val="22"/>
                <w:szCs w:val="22"/>
              </w:rPr>
              <w:t xml:space="preserve">unit </w:t>
            </w:r>
            <w:r w:rsidRPr="00072C3C">
              <w:rPr>
                <w:rFonts w:asciiTheme="minorHAnsi" w:hAnsiTheme="minorHAnsi"/>
                <w:sz w:val="22"/>
                <w:szCs w:val="22"/>
              </w:rPr>
              <w:t>size</w:t>
            </w:r>
            <w:r w:rsidR="00940977">
              <w:rPr>
                <w:rFonts w:asciiTheme="minorHAnsi" w:hAnsiTheme="minorHAnsi"/>
                <w:sz w:val="22"/>
                <w:szCs w:val="22"/>
              </w:rPr>
              <w:t xml:space="preserve">  </w:t>
            </w:r>
            <w:proofErr w:type="gramStart"/>
            <w:r w:rsidR="00940977">
              <w:rPr>
                <w:rFonts w:asciiTheme="minorHAnsi" w:hAnsiTheme="minorHAnsi"/>
                <w:sz w:val="22"/>
                <w:szCs w:val="22"/>
              </w:rPr>
              <w:t xml:space="preserve">  </w:t>
            </w:r>
            <w:r>
              <w:rPr>
                <w:rFonts w:asciiTheme="minorHAnsi" w:hAnsiTheme="minorHAnsi"/>
                <w:sz w:val="22"/>
                <w:szCs w:val="22"/>
              </w:rPr>
              <w:t xml:space="preserve"> </w:t>
            </w:r>
            <w:r w:rsidRPr="00072C3C">
              <w:rPr>
                <w:rFonts w:asciiTheme="minorHAnsi" w:hAnsiTheme="minorHAnsi"/>
                <w:sz w:val="22"/>
                <w:szCs w:val="22"/>
              </w:rPr>
              <w:t>(</w:t>
            </w:r>
            <w:proofErr w:type="gramEnd"/>
            <w:r>
              <w:rPr>
                <w:rFonts w:asciiTheme="minorHAnsi" w:hAnsiTheme="minorHAnsi"/>
                <w:sz w:val="22"/>
                <w:szCs w:val="22"/>
              </w:rPr>
              <w:t xml:space="preserve">per </w:t>
            </w:r>
            <w:r w:rsidR="00523229">
              <w:rPr>
                <w:rFonts w:asciiTheme="minorHAnsi" w:hAnsiTheme="minorHAnsi"/>
                <w:sz w:val="22"/>
                <w:szCs w:val="22"/>
              </w:rPr>
              <w:t>Section 7.7</w:t>
            </w:r>
            <w:r w:rsidR="00822106">
              <w:rPr>
                <w:rFonts w:asciiTheme="minorHAnsi" w:hAnsiTheme="minorHAnsi"/>
                <w:sz w:val="22"/>
                <w:szCs w:val="22"/>
              </w:rPr>
              <w:t xml:space="preserve"> of CHG Guidelines</w:t>
            </w:r>
            <w:r w:rsidRPr="00072C3C">
              <w:rPr>
                <w:rFonts w:asciiTheme="minorHAnsi" w:hAnsiTheme="minorHAnsi"/>
                <w:sz w:val="22"/>
                <w:szCs w:val="22"/>
              </w:rPr>
              <w:t>)</w:t>
            </w:r>
          </w:p>
        </w:tc>
        <w:tc>
          <w:tcPr>
            <w:tcW w:w="2910" w:type="dxa"/>
            <w:tcBorders>
              <w:top w:val="single" w:sz="4" w:space="0" w:color="auto"/>
              <w:bottom w:val="single" w:sz="4" w:space="0" w:color="auto"/>
              <w:right w:val="double" w:sz="12" w:space="0" w:color="auto"/>
            </w:tcBorders>
          </w:tcPr>
          <w:p w14:paraId="1BF13453" w14:textId="77777777" w:rsidR="00442177" w:rsidRPr="008E6040" w:rsidRDefault="00442177" w:rsidP="00D028E1">
            <w:pPr>
              <w:jc w:val="center"/>
              <w:rPr>
                <w:rFonts w:asciiTheme="minorHAnsi" w:hAnsiTheme="minorHAnsi"/>
              </w:rPr>
            </w:pPr>
          </w:p>
        </w:tc>
        <w:tc>
          <w:tcPr>
            <w:tcW w:w="1560" w:type="dxa"/>
            <w:tcBorders>
              <w:top w:val="single" w:sz="4" w:space="0" w:color="auto"/>
              <w:left w:val="double" w:sz="12" w:space="0" w:color="auto"/>
              <w:bottom w:val="single" w:sz="4" w:space="0" w:color="auto"/>
            </w:tcBorders>
            <w:shd w:val="clear" w:color="auto" w:fill="D9D9D9"/>
            <w:vAlign w:val="center"/>
          </w:tcPr>
          <w:p w14:paraId="0F7114AB" w14:textId="77777777" w:rsidR="00442177" w:rsidRPr="008E6040" w:rsidRDefault="00E42EF0" w:rsidP="00940977">
            <w:pPr>
              <w:jc w:val="center"/>
              <w:rPr>
                <w:rFonts w:asciiTheme="minorHAnsi" w:hAnsiTheme="minorHAnsi"/>
                <w:sz w:val="22"/>
                <w:szCs w:val="22"/>
              </w:rPr>
            </w:pPr>
            <w:r>
              <w:rPr>
                <w:rFonts w:asciiTheme="minorHAnsi" w:hAnsiTheme="minorHAnsi"/>
                <w:sz w:val="22"/>
                <w:szCs w:val="22"/>
              </w:rPr>
              <w:t>1,</w:t>
            </w:r>
            <w:r w:rsidR="00940977">
              <w:rPr>
                <w:rFonts w:asciiTheme="minorHAnsi" w:hAnsiTheme="minorHAnsi"/>
                <w:sz w:val="22"/>
                <w:szCs w:val="22"/>
              </w:rPr>
              <w:t>417</w:t>
            </w:r>
          </w:p>
        </w:tc>
        <w:tc>
          <w:tcPr>
            <w:tcW w:w="1560" w:type="dxa"/>
            <w:tcBorders>
              <w:top w:val="single" w:sz="4" w:space="0" w:color="auto"/>
              <w:bottom w:val="single" w:sz="4" w:space="0" w:color="auto"/>
            </w:tcBorders>
            <w:shd w:val="clear" w:color="auto" w:fill="D9D9D9"/>
            <w:vAlign w:val="center"/>
          </w:tcPr>
          <w:p w14:paraId="0032A6A9" w14:textId="77777777" w:rsidR="00442177" w:rsidRPr="008E6040" w:rsidRDefault="00940977" w:rsidP="00E42EF0">
            <w:pPr>
              <w:jc w:val="center"/>
              <w:rPr>
                <w:rFonts w:asciiTheme="minorHAnsi" w:hAnsiTheme="minorHAnsi"/>
                <w:sz w:val="22"/>
                <w:szCs w:val="22"/>
              </w:rPr>
            </w:pPr>
            <w:r>
              <w:rPr>
                <w:rFonts w:asciiTheme="minorHAnsi" w:hAnsiTheme="minorHAnsi"/>
                <w:sz w:val="22"/>
                <w:szCs w:val="22"/>
              </w:rPr>
              <w:t>1,448</w:t>
            </w:r>
          </w:p>
        </w:tc>
      </w:tr>
      <w:tr w:rsidR="00940977" w:rsidRPr="005679EE" w14:paraId="16F42C3E" w14:textId="77777777" w:rsidTr="00576876">
        <w:tc>
          <w:tcPr>
            <w:tcW w:w="3570" w:type="dxa"/>
            <w:tcBorders>
              <w:top w:val="single" w:sz="4" w:space="0" w:color="auto"/>
              <w:bottom w:val="single" w:sz="4" w:space="0" w:color="auto"/>
            </w:tcBorders>
            <w:shd w:val="clear" w:color="auto" w:fill="D9D9D9"/>
          </w:tcPr>
          <w:p w14:paraId="04E9AD08" w14:textId="77777777" w:rsidR="00940977" w:rsidRDefault="00940977" w:rsidP="00576876">
            <w:pPr>
              <w:pStyle w:val="ListParagraph"/>
              <w:numPr>
                <w:ilvl w:val="0"/>
                <w:numId w:val="2"/>
              </w:numPr>
              <w:rPr>
                <w:rFonts w:asciiTheme="minorHAnsi" w:hAnsiTheme="minorHAnsi"/>
                <w:sz w:val="22"/>
                <w:szCs w:val="22"/>
              </w:rPr>
            </w:pPr>
            <w:r>
              <w:rPr>
                <w:rFonts w:asciiTheme="minorHAnsi" w:hAnsiTheme="minorHAnsi"/>
                <w:sz w:val="22"/>
                <w:szCs w:val="22"/>
              </w:rPr>
              <w:t>If line 4 above is “No” enter utility allowance</w:t>
            </w:r>
            <w:r w:rsidR="00576876">
              <w:rPr>
                <w:rFonts w:asciiTheme="minorHAnsi" w:hAnsiTheme="minorHAnsi"/>
                <w:sz w:val="22"/>
                <w:szCs w:val="22"/>
              </w:rPr>
              <w:t xml:space="preserve"> for this unit size</w:t>
            </w:r>
            <w:r>
              <w:rPr>
                <w:rFonts w:asciiTheme="minorHAnsi" w:hAnsiTheme="minorHAnsi"/>
                <w:sz w:val="22"/>
                <w:szCs w:val="22"/>
              </w:rPr>
              <w:t>. If line 4 is “Yes” enter zero.</w:t>
            </w:r>
          </w:p>
        </w:tc>
        <w:tc>
          <w:tcPr>
            <w:tcW w:w="2910" w:type="dxa"/>
            <w:tcBorders>
              <w:top w:val="single" w:sz="4" w:space="0" w:color="auto"/>
              <w:bottom w:val="single" w:sz="4" w:space="0" w:color="auto"/>
              <w:right w:val="double" w:sz="12" w:space="0" w:color="auto"/>
            </w:tcBorders>
          </w:tcPr>
          <w:p w14:paraId="139FC0BC" w14:textId="77777777" w:rsidR="00940977" w:rsidRPr="008E6040" w:rsidRDefault="00940977" w:rsidP="00D028E1">
            <w:pPr>
              <w:jc w:val="center"/>
              <w:rPr>
                <w:rFonts w:asciiTheme="minorHAnsi" w:hAnsiTheme="minorHAnsi"/>
              </w:rPr>
            </w:pPr>
          </w:p>
        </w:tc>
        <w:tc>
          <w:tcPr>
            <w:tcW w:w="1560" w:type="dxa"/>
            <w:tcBorders>
              <w:top w:val="single" w:sz="4" w:space="0" w:color="auto"/>
              <w:left w:val="double" w:sz="12" w:space="0" w:color="auto"/>
              <w:bottom w:val="single" w:sz="4" w:space="0" w:color="auto"/>
            </w:tcBorders>
            <w:shd w:val="clear" w:color="auto" w:fill="D9D9D9"/>
            <w:vAlign w:val="center"/>
          </w:tcPr>
          <w:p w14:paraId="72B1A1F1" w14:textId="77777777" w:rsidR="00940977" w:rsidRDefault="00576876" w:rsidP="00940977">
            <w:pPr>
              <w:jc w:val="center"/>
              <w:rPr>
                <w:rFonts w:asciiTheme="minorHAnsi" w:hAnsiTheme="minorHAnsi"/>
                <w:sz w:val="22"/>
                <w:szCs w:val="22"/>
              </w:rPr>
            </w:pPr>
            <w:r>
              <w:rPr>
                <w:rFonts w:asciiTheme="minorHAnsi" w:hAnsiTheme="minorHAnsi"/>
                <w:sz w:val="22"/>
                <w:szCs w:val="22"/>
              </w:rPr>
              <w:t>0</w:t>
            </w:r>
          </w:p>
        </w:tc>
        <w:tc>
          <w:tcPr>
            <w:tcW w:w="1560" w:type="dxa"/>
            <w:tcBorders>
              <w:top w:val="single" w:sz="4" w:space="0" w:color="auto"/>
              <w:bottom w:val="single" w:sz="4" w:space="0" w:color="auto"/>
            </w:tcBorders>
            <w:shd w:val="clear" w:color="auto" w:fill="D9D9D9"/>
            <w:vAlign w:val="center"/>
          </w:tcPr>
          <w:p w14:paraId="239E9CDA" w14:textId="77777777" w:rsidR="00940977" w:rsidRDefault="00576876" w:rsidP="00E42EF0">
            <w:pPr>
              <w:jc w:val="center"/>
              <w:rPr>
                <w:rFonts w:asciiTheme="minorHAnsi" w:hAnsiTheme="minorHAnsi"/>
                <w:sz w:val="22"/>
                <w:szCs w:val="22"/>
              </w:rPr>
            </w:pPr>
            <w:r>
              <w:rPr>
                <w:rFonts w:asciiTheme="minorHAnsi" w:hAnsiTheme="minorHAnsi"/>
                <w:sz w:val="22"/>
                <w:szCs w:val="22"/>
              </w:rPr>
              <w:t>100</w:t>
            </w:r>
          </w:p>
        </w:tc>
      </w:tr>
      <w:tr w:rsidR="00576876" w:rsidRPr="005679EE" w14:paraId="74FD3C52" w14:textId="77777777" w:rsidTr="00576876">
        <w:tc>
          <w:tcPr>
            <w:tcW w:w="3570" w:type="dxa"/>
            <w:tcBorders>
              <w:top w:val="single" w:sz="4" w:space="0" w:color="auto"/>
              <w:bottom w:val="single" w:sz="4" w:space="0" w:color="auto"/>
            </w:tcBorders>
            <w:shd w:val="clear" w:color="auto" w:fill="D9D9D9"/>
          </w:tcPr>
          <w:p w14:paraId="30520038" w14:textId="77777777" w:rsidR="00576876" w:rsidRDefault="00576876" w:rsidP="00940977">
            <w:pPr>
              <w:pStyle w:val="ListParagraph"/>
              <w:numPr>
                <w:ilvl w:val="0"/>
                <w:numId w:val="2"/>
              </w:numPr>
              <w:rPr>
                <w:rFonts w:asciiTheme="minorHAnsi" w:hAnsiTheme="minorHAnsi"/>
                <w:sz w:val="22"/>
                <w:szCs w:val="22"/>
              </w:rPr>
            </w:pPr>
            <w:r>
              <w:rPr>
                <w:rFonts w:asciiTheme="minorHAnsi" w:hAnsiTheme="minorHAnsi"/>
                <w:sz w:val="22"/>
                <w:szCs w:val="22"/>
              </w:rPr>
              <w:t>Subtract Line 6 from Line 5</w:t>
            </w:r>
          </w:p>
        </w:tc>
        <w:tc>
          <w:tcPr>
            <w:tcW w:w="2910" w:type="dxa"/>
            <w:tcBorders>
              <w:top w:val="single" w:sz="4" w:space="0" w:color="auto"/>
              <w:bottom w:val="single" w:sz="4" w:space="0" w:color="auto"/>
              <w:right w:val="double" w:sz="12" w:space="0" w:color="auto"/>
            </w:tcBorders>
          </w:tcPr>
          <w:p w14:paraId="54DF38F0" w14:textId="77777777" w:rsidR="00576876" w:rsidRPr="008E6040" w:rsidRDefault="00576876" w:rsidP="00D028E1">
            <w:pPr>
              <w:jc w:val="center"/>
              <w:rPr>
                <w:rFonts w:asciiTheme="minorHAnsi" w:hAnsiTheme="minorHAnsi"/>
              </w:rPr>
            </w:pPr>
          </w:p>
        </w:tc>
        <w:tc>
          <w:tcPr>
            <w:tcW w:w="1560" w:type="dxa"/>
            <w:tcBorders>
              <w:top w:val="single" w:sz="4" w:space="0" w:color="auto"/>
              <w:left w:val="double" w:sz="12" w:space="0" w:color="auto"/>
              <w:bottom w:val="single" w:sz="4" w:space="0" w:color="auto"/>
            </w:tcBorders>
            <w:shd w:val="clear" w:color="auto" w:fill="D9D9D9"/>
            <w:vAlign w:val="center"/>
          </w:tcPr>
          <w:p w14:paraId="12982BCD" w14:textId="77777777" w:rsidR="00576876" w:rsidRDefault="00576876" w:rsidP="00940977">
            <w:pPr>
              <w:jc w:val="center"/>
              <w:rPr>
                <w:rFonts w:asciiTheme="minorHAnsi" w:hAnsiTheme="minorHAnsi"/>
                <w:sz w:val="22"/>
                <w:szCs w:val="22"/>
              </w:rPr>
            </w:pPr>
            <w:r>
              <w:rPr>
                <w:rFonts w:asciiTheme="minorHAnsi" w:hAnsiTheme="minorHAnsi"/>
                <w:sz w:val="22"/>
                <w:szCs w:val="22"/>
              </w:rPr>
              <w:t>1,417</w:t>
            </w:r>
          </w:p>
        </w:tc>
        <w:tc>
          <w:tcPr>
            <w:tcW w:w="1560" w:type="dxa"/>
            <w:tcBorders>
              <w:top w:val="single" w:sz="4" w:space="0" w:color="auto"/>
              <w:bottom w:val="single" w:sz="4" w:space="0" w:color="auto"/>
            </w:tcBorders>
            <w:shd w:val="clear" w:color="auto" w:fill="D9D9D9"/>
            <w:vAlign w:val="center"/>
          </w:tcPr>
          <w:p w14:paraId="72D51E6D" w14:textId="77777777" w:rsidR="00576876" w:rsidRDefault="00576876" w:rsidP="00E42EF0">
            <w:pPr>
              <w:jc w:val="center"/>
              <w:rPr>
                <w:rFonts w:asciiTheme="minorHAnsi" w:hAnsiTheme="minorHAnsi"/>
                <w:sz w:val="22"/>
                <w:szCs w:val="22"/>
              </w:rPr>
            </w:pPr>
            <w:r>
              <w:rPr>
                <w:rFonts w:asciiTheme="minorHAnsi" w:hAnsiTheme="minorHAnsi"/>
                <w:sz w:val="22"/>
                <w:szCs w:val="22"/>
              </w:rPr>
              <w:t>1,348</w:t>
            </w:r>
          </w:p>
        </w:tc>
      </w:tr>
      <w:tr w:rsidR="00442177" w:rsidRPr="005679EE" w14:paraId="6166B113" w14:textId="77777777" w:rsidTr="00576876">
        <w:tc>
          <w:tcPr>
            <w:tcW w:w="3570" w:type="dxa"/>
            <w:tcBorders>
              <w:top w:val="single" w:sz="4" w:space="0" w:color="auto"/>
              <w:bottom w:val="double" w:sz="12" w:space="0" w:color="auto"/>
            </w:tcBorders>
            <w:shd w:val="clear" w:color="auto" w:fill="D9D9D9"/>
          </w:tcPr>
          <w:p w14:paraId="32001864" w14:textId="77777777" w:rsidR="00442177" w:rsidRPr="00072C3C" w:rsidRDefault="00576876" w:rsidP="00576876">
            <w:pPr>
              <w:pStyle w:val="ListParagraph"/>
              <w:numPr>
                <w:ilvl w:val="0"/>
                <w:numId w:val="2"/>
              </w:numPr>
              <w:rPr>
                <w:rFonts w:asciiTheme="minorHAnsi" w:hAnsiTheme="minorHAnsi"/>
                <w:sz w:val="22"/>
                <w:szCs w:val="22"/>
              </w:rPr>
            </w:pPr>
            <w:r>
              <w:rPr>
                <w:rFonts w:asciiTheme="minorHAnsi" w:hAnsiTheme="minorHAnsi"/>
                <w:sz w:val="22"/>
                <w:szCs w:val="22"/>
              </w:rPr>
              <w:t xml:space="preserve">Is the amount on line 2 less than the amount on line 7?  (If yes, then the </w:t>
            </w:r>
            <w:r w:rsidR="00442177">
              <w:rPr>
                <w:rFonts w:asciiTheme="minorHAnsi" w:hAnsiTheme="minorHAnsi"/>
                <w:sz w:val="22"/>
                <w:szCs w:val="22"/>
              </w:rPr>
              <w:t xml:space="preserve">unit rent </w:t>
            </w:r>
            <w:r>
              <w:rPr>
                <w:rFonts w:asciiTheme="minorHAnsi" w:hAnsiTheme="minorHAnsi"/>
                <w:sz w:val="22"/>
                <w:szCs w:val="22"/>
              </w:rPr>
              <w:t xml:space="preserve">is </w:t>
            </w:r>
            <w:r w:rsidR="00442177">
              <w:rPr>
                <w:rFonts w:asciiTheme="minorHAnsi" w:hAnsiTheme="minorHAnsi"/>
                <w:sz w:val="22"/>
                <w:szCs w:val="22"/>
              </w:rPr>
              <w:t>within CHG limits?</w:t>
            </w:r>
          </w:p>
        </w:tc>
        <w:tc>
          <w:tcPr>
            <w:tcW w:w="2910" w:type="dxa"/>
            <w:tcBorders>
              <w:top w:val="single" w:sz="4" w:space="0" w:color="auto"/>
              <w:bottom w:val="double" w:sz="12" w:space="0" w:color="auto"/>
              <w:right w:val="double" w:sz="12" w:space="0" w:color="auto"/>
            </w:tcBorders>
          </w:tcPr>
          <w:p w14:paraId="48B47EE2" w14:textId="77777777" w:rsidR="00442177" w:rsidRPr="008E6040" w:rsidRDefault="00576876" w:rsidP="00D028E1">
            <w:pPr>
              <w:jc w:val="center"/>
              <w:rPr>
                <w:rFonts w:asciiTheme="minorHAnsi" w:hAnsiTheme="minorHAnsi"/>
              </w:rPr>
            </w:pPr>
            <w:r>
              <w:rPr>
                <w:rFonts w:asciiTheme="minorHAnsi" w:hAnsiTheme="minorHAnsi"/>
              </w:rPr>
              <w:t>Is the unit rent less than the CHG rent limit?</w:t>
            </w:r>
          </w:p>
        </w:tc>
        <w:tc>
          <w:tcPr>
            <w:tcW w:w="1560" w:type="dxa"/>
            <w:tcBorders>
              <w:top w:val="single" w:sz="4" w:space="0" w:color="auto"/>
              <w:left w:val="double" w:sz="12" w:space="0" w:color="auto"/>
              <w:bottom w:val="double" w:sz="12" w:space="0" w:color="auto"/>
            </w:tcBorders>
            <w:shd w:val="clear" w:color="auto" w:fill="D9D9D9"/>
            <w:vAlign w:val="center"/>
          </w:tcPr>
          <w:p w14:paraId="4F7473AD" w14:textId="77777777" w:rsidR="00442177" w:rsidRPr="008E6040" w:rsidRDefault="00442177" w:rsidP="00D028E1">
            <w:pPr>
              <w:jc w:val="center"/>
              <w:rPr>
                <w:rFonts w:asciiTheme="minorHAnsi" w:hAnsiTheme="minorHAnsi"/>
                <w:sz w:val="22"/>
                <w:szCs w:val="22"/>
              </w:rPr>
            </w:pPr>
            <w:r>
              <w:rPr>
                <w:rFonts w:asciiTheme="minorHAnsi" w:hAnsiTheme="minorHAnsi"/>
                <w:sz w:val="22"/>
                <w:szCs w:val="22"/>
              </w:rPr>
              <w:t>yes</w:t>
            </w:r>
          </w:p>
        </w:tc>
        <w:tc>
          <w:tcPr>
            <w:tcW w:w="1560" w:type="dxa"/>
            <w:tcBorders>
              <w:top w:val="single" w:sz="4" w:space="0" w:color="auto"/>
              <w:bottom w:val="double" w:sz="12" w:space="0" w:color="auto"/>
            </w:tcBorders>
            <w:shd w:val="clear" w:color="auto" w:fill="D9D9D9"/>
            <w:vAlign w:val="center"/>
          </w:tcPr>
          <w:p w14:paraId="418689F1" w14:textId="77777777" w:rsidR="00442177" w:rsidRPr="008E6040" w:rsidRDefault="00442177" w:rsidP="00D028E1">
            <w:pPr>
              <w:jc w:val="center"/>
              <w:rPr>
                <w:rFonts w:asciiTheme="minorHAnsi" w:hAnsiTheme="minorHAnsi"/>
                <w:sz w:val="22"/>
                <w:szCs w:val="22"/>
              </w:rPr>
            </w:pPr>
            <w:r>
              <w:rPr>
                <w:rFonts w:asciiTheme="minorHAnsi" w:hAnsiTheme="minorHAnsi"/>
                <w:sz w:val="22"/>
                <w:szCs w:val="22"/>
              </w:rPr>
              <w:t>yes</w:t>
            </w:r>
          </w:p>
        </w:tc>
      </w:tr>
    </w:tbl>
    <w:p w14:paraId="3BA40D87" w14:textId="77777777" w:rsidR="00442177" w:rsidRPr="005679EE" w:rsidRDefault="00442177" w:rsidP="00442177">
      <w:pPr>
        <w:tabs>
          <w:tab w:val="left" w:pos="-1440"/>
          <w:tab w:val="left" w:pos="-720"/>
        </w:tabs>
        <w:suppressAutoHyphens/>
        <w:ind w:left="720" w:right="720"/>
        <w:rPr>
          <w:rFonts w:asciiTheme="minorHAnsi" w:hAnsiTheme="minorHAnsi"/>
          <w:b/>
          <w:smallCaps/>
          <w:sz w:val="20"/>
        </w:rPr>
      </w:pPr>
    </w:p>
    <w:p w14:paraId="1FA7D5E7" w14:textId="77777777" w:rsidR="00442177" w:rsidRDefault="00442177" w:rsidP="00442177">
      <w:pPr>
        <w:pStyle w:val="BlockText"/>
        <w:ind w:left="117"/>
        <w:rPr>
          <w:rFonts w:asciiTheme="minorHAnsi" w:hAnsiTheme="minorHAnsi"/>
          <w:sz w:val="22"/>
          <w:szCs w:val="22"/>
        </w:rPr>
      </w:pPr>
      <w:r w:rsidRPr="0055179F">
        <w:rPr>
          <w:rFonts w:asciiTheme="minorHAnsi" w:hAnsiTheme="minorHAnsi"/>
          <w:sz w:val="22"/>
          <w:szCs w:val="22"/>
        </w:rPr>
        <w:t xml:space="preserve">* Total unit rent (line 3) may not exceed CHG rent limit (line </w:t>
      </w:r>
      <w:r w:rsidR="00576876">
        <w:rPr>
          <w:rFonts w:asciiTheme="minorHAnsi" w:hAnsiTheme="minorHAnsi"/>
          <w:sz w:val="22"/>
          <w:szCs w:val="22"/>
        </w:rPr>
        <w:t>7</w:t>
      </w:r>
      <w:r w:rsidRPr="0055179F">
        <w:rPr>
          <w:rFonts w:asciiTheme="minorHAnsi" w:hAnsiTheme="minorHAnsi"/>
          <w:sz w:val="22"/>
          <w:szCs w:val="22"/>
        </w:rPr>
        <w:t xml:space="preserve">). </w:t>
      </w:r>
    </w:p>
    <w:p w14:paraId="5B6C8EBD" w14:textId="77777777" w:rsidR="00746093" w:rsidRDefault="00746093" w:rsidP="00442177">
      <w:pPr>
        <w:pStyle w:val="BlockText"/>
        <w:ind w:left="117"/>
        <w:rPr>
          <w:rFonts w:asciiTheme="minorHAnsi" w:hAnsiTheme="minorHAnsi"/>
          <w:sz w:val="22"/>
          <w:szCs w:val="22"/>
        </w:rPr>
      </w:pPr>
    </w:p>
    <w:p w14:paraId="75B6EE45" w14:textId="7BF38E75" w:rsidR="00746093" w:rsidRDefault="00746093" w:rsidP="00327565">
      <w:pPr>
        <w:pStyle w:val="BlockText"/>
        <w:ind w:left="294"/>
        <w:rPr>
          <w:rFonts w:asciiTheme="minorHAnsi" w:hAnsiTheme="minorHAnsi"/>
          <w:sz w:val="22"/>
          <w:szCs w:val="22"/>
        </w:rPr>
      </w:pPr>
      <w:r>
        <w:rPr>
          <w:rFonts w:asciiTheme="minorHAnsi" w:hAnsiTheme="minorHAnsi"/>
          <w:sz w:val="22"/>
          <w:szCs w:val="22"/>
        </w:rPr>
        <w:t xml:space="preserve">King County Housing Authority utility allowance standards can be found online at </w:t>
      </w:r>
      <w:hyperlink r:id="rId10" w:history="1">
        <w:r w:rsidR="00327565" w:rsidRPr="00327565">
          <w:rPr>
            <w:rStyle w:val="Hyperlink"/>
            <w:rFonts w:asciiTheme="minorHAnsi" w:hAnsiTheme="minorHAnsi"/>
            <w:sz w:val="22"/>
            <w:szCs w:val="22"/>
          </w:rPr>
          <w:t>King County Housing Authority &gt; Landlords &gt; Rent &amp; Utilities</w:t>
        </w:r>
      </w:hyperlink>
    </w:p>
    <w:p w14:paraId="04C5BAF1" w14:textId="77777777" w:rsidR="00576876" w:rsidRDefault="00576876" w:rsidP="00442177">
      <w:pPr>
        <w:pStyle w:val="BlockText"/>
        <w:ind w:left="117"/>
        <w:rPr>
          <w:rFonts w:asciiTheme="minorHAnsi" w:hAnsiTheme="minorHAnsi"/>
          <w:sz w:val="22"/>
          <w:szCs w:val="22"/>
        </w:rPr>
      </w:pPr>
    </w:p>
    <w:p w14:paraId="7BDBF09A" w14:textId="44D90596" w:rsidR="00215520" w:rsidRPr="00215520" w:rsidRDefault="008422FA" w:rsidP="008422FA">
      <w:pPr>
        <w:pStyle w:val="BlockText"/>
        <w:ind w:left="294"/>
        <w:rPr>
          <w:rFonts w:asciiTheme="minorHAnsi" w:hAnsiTheme="minorHAnsi"/>
          <w:sz w:val="22"/>
          <w:szCs w:val="22"/>
        </w:rPr>
      </w:pPr>
      <w:r>
        <w:rPr>
          <w:rFonts w:asciiTheme="minorHAnsi" w:hAnsiTheme="minorHAnsi"/>
          <w:sz w:val="22"/>
          <w:szCs w:val="22"/>
        </w:rPr>
        <w:t xml:space="preserve">Seattle Housing Authority utility allowance standards can be found online at </w:t>
      </w:r>
      <w:hyperlink r:id="rId11" w:history="1">
        <w:r w:rsidR="00B76923" w:rsidRPr="00B76923">
          <w:rPr>
            <w:rStyle w:val="Hyperlink"/>
            <w:rFonts w:asciiTheme="minorHAnsi" w:hAnsiTheme="minorHAnsi"/>
            <w:sz w:val="22"/>
            <w:szCs w:val="22"/>
          </w:rPr>
          <w:t>Utility estimates | Seattle Housing Authority</w:t>
        </w:r>
      </w:hyperlink>
    </w:p>
    <w:p w14:paraId="3FAA3A08" w14:textId="330F24EE" w:rsidR="00215520" w:rsidRPr="00215520" w:rsidRDefault="00215520" w:rsidP="00215520">
      <w:pPr>
        <w:pStyle w:val="BlockText"/>
        <w:ind w:left="117"/>
        <w:rPr>
          <w:rFonts w:asciiTheme="minorHAnsi" w:hAnsiTheme="minorHAnsi"/>
          <w:sz w:val="22"/>
          <w:szCs w:val="22"/>
        </w:rPr>
      </w:pPr>
    </w:p>
    <w:p w14:paraId="1FFBF187" w14:textId="632CCEBF" w:rsidR="00442177" w:rsidRPr="0055179F" w:rsidRDefault="00215520" w:rsidP="00327565">
      <w:pPr>
        <w:pStyle w:val="BlockText"/>
        <w:ind w:left="117"/>
        <w:rPr>
          <w:rFonts w:asciiTheme="minorHAnsi" w:hAnsiTheme="minorHAnsi"/>
          <w:smallCaps/>
          <w:sz w:val="22"/>
          <w:szCs w:val="22"/>
        </w:rPr>
      </w:pPr>
      <w:r w:rsidRPr="00215520">
        <w:rPr>
          <w:rFonts w:asciiTheme="minorHAnsi" w:hAnsiTheme="minorHAnsi"/>
          <w:sz w:val="22"/>
          <w:szCs w:val="22"/>
        </w:rPr>
        <w:t> </w:t>
      </w:r>
      <w:r w:rsidR="00442177" w:rsidRPr="0055179F">
        <w:rPr>
          <w:rFonts w:asciiTheme="minorHAnsi" w:hAnsiTheme="minorHAnsi"/>
          <w:b/>
          <w:smallCaps/>
          <w:sz w:val="22"/>
          <w:szCs w:val="22"/>
        </w:rPr>
        <w:t>CERTIFICATION</w:t>
      </w:r>
      <w:r w:rsidR="00442177" w:rsidRPr="0055179F">
        <w:rPr>
          <w:rFonts w:asciiTheme="minorHAnsi" w:hAnsiTheme="minorHAnsi"/>
          <w:smallCaps/>
          <w:sz w:val="22"/>
          <w:szCs w:val="22"/>
        </w:rPr>
        <w:t>:</w:t>
      </w:r>
    </w:p>
    <w:p w14:paraId="1F6D832A" w14:textId="77777777" w:rsidR="00442177" w:rsidRPr="0055179F" w:rsidRDefault="00442177" w:rsidP="00442177">
      <w:pPr>
        <w:pStyle w:val="BlockText"/>
        <w:ind w:left="294"/>
        <w:rPr>
          <w:rFonts w:asciiTheme="minorHAnsi" w:hAnsiTheme="minorHAnsi"/>
          <w:sz w:val="22"/>
          <w:szCs w:val="22"/>
        </w:rPr>
      </w:pPr>
      <w:r w:rsidRPr="0055179F">
        <w:rPr>
          <w:rFonts w:asciiTheme="minorHAnsi" w:hAnsiTheme="minorHAnsi"/>
          <w:sz w:val="22"/>
          <w:szCs w:val="22"/>
        </w:rPr>
        <w:t xml:space="preserve">I certify that the unit rent for the proposed unit does not exceed the King County CHG Rent Limit for this </w:t>
      </w:r>
      <w:r>
        <w:rPr>
          <w:rFonts w:asciiTheme="minorHAnsi" w:hAnsiTheme="minorHAnsi"/>
          <w:sz w:val="22"/>
          <w:szCs w:val="22"/>
        </w:rPr>
        <w:t xml:space="preserve">region, unit size with consideration of whether utilities are included in rent amount.  </w:t>
      </w:r>
      <w:r w:rsidRPr="0055179F">
        <w:rPr>
          <w:rFonts w:asciiTheme="minorHAnsi" w:hAnsiTheme="minorHAnsi"/>
          <w:sz w:val="22"/>
          <w:szCs w:val="22"/>
        </w:rPr>
        <w:t xml:space="preserve">  </w:t>
      </w:r>
    </w:p>
    <w:p w14:paraId="474DA1CC" w14:textId="77777777" w:rsidR="00442177" w:rsidRPr="0055179F" w:rsidRDefault="00442177" w:rsidP="00442177">
      <w:pPr>
        <w:pStyle w:val="BlockText"/>
        <w:rPr>
          <w:rFonts w:asciiTheme="minorHAnsi" w:hAnsiTheme="minorHAnsi"/>
          <w:sz w:val="22"/>
          <w:szCs w:val="22"/>
        </w:rPr>
      </w:pPr>
    </w:p>
    <w:p w14:paraId="0844EA27" w14:textId="77777777" w:rsidR="00442177" w:rsidRPr="0055179F" w:rsidRDefault="00442177" w:rsidP="00442177">
      <w:pPr>
        <w:pStyle w:val="BlockText"/>
        <w:ind w:left="294"/>
        <w:rPr>
          <w:rFonts w:asciiTheme="minorHAnsi" w:hAnsiTheme="minorHAnsi"/>
          <w:b/>
          <w:sz w:val="22"/>
          <w:szCs w:val="22"/>
        </w:rPr>
      </w:pPr>
      <w:r w:rsidRPr="0055179F">
        <w:rPr>
          <w:rFonts w:asciiTheme="minorHAnsi" w:hAnsiTheme="minorHAnsi"/>
          <w:b/>
          <w:sz w:val="22"/>
          <w:szCs w:val="22"/>
        </w:rPr>
        <w:t>NOTES:</w:t>
      </w:r>
    </w:p>
    <w:p w14:paraId="56D781E1" w14:textId="77777777" w:rsidR="00442177" w:rsidRDefault="00442177" w:rsidP="00442177">
      <w:pPr>
        <w:pStyle w:val="BlockText"/>
        <w:ind w:left="0"/>
        <w:rPr>
          <w:rFonts w:asciiTheme="minorHAnsi" w:hAnsiTheme="minorHAnsi"/>
          <w:sz w:val="22"/>
          <w:szCs w:val="22"/>
        </w:rPr>
      </w:pPr>
    </w:p>
    <w:p w14:paraId="249E78EB" w14:textId="77777777" w:rsidR="00E42EF0" w:rsidRDefault="00E42EF0" w:rsidP="00442177">
      <w:pPr>
        <w:pStyle w:val="BlockText"/>
        <w:ind w:left="0"/>
        <w:rPr>
          <w:rFonts w:asciiTheme="minorHAnsi" w:hAnsiTheme="minorHAnsi"/>
          <w:sz w:val="22"/>
          <w:szCs w:val="22"/>
        </w:rPr>
      </w:pPr>
    </w:p>
    <w:p w14:paraId="6E91A397" w14:textId="77777777" w:rsidR="00E42EF0" w:rsidRPr="0055179F" w:rsidRDefault="00E42EF0" w:rsidP="00442177">
      <w:pPr>
        <w:pStyle w:val="BlockText"/>
        <w:ind w:left="0"/>
        <w:rPr>
          <w:rFonts w:asciiTheme="minorHAnsi" w:hAnsiTheme="minorHAnsi"/>
          <w:sz w:val="22"/>
          <w:szCs w:val="22"/>
        </w:rPr>
      </w:pPr>
    </w:p>
    <w:p w14:paraId="643DB7FD" w14:textId="77777777" w:rsidR="00442177" w:rsidRPr="005679EE" w:rsidRDefault="00442177" w:rsidP="00442177">
      <w:pPr>
        <w:pStyle w:val="BlockText"/>
        <w:ind w:left="0"/>
        <w:rPr>
          <w:rFonts w:asciiTheme="minorHAnsi" w:hAnsiTheme="minorHAnsi"/>
        </w:rPr>
      </w:pPr>
    </w:p>
    <w:p w14:paraId="2EC8408D" w14:textId="77777777" w:rsidR="00442177" w:rsidRPr="005679EE" w:rsidRDefault="00442177" w:rsidP="00442177">
      <w:pPr>
        <w:tabs>
          <w:tab w:val="left" w:pos="-720"/>
          <w:tab w:val="left" w:pos="0"/>
          <w:tab w:val="left" w:pos="117"/>
          <w:tab w:val="left" w:pos="294"/>
          <w:tab w:val="left" w:pos="720"/>
          <w:tab w:val="left" w:pos="3124"/>
          <w:tab w:val="left" w:pos="3374"/>
          <w:tab w:val="left" w:pos="5054"/>
          <w:tab w:val="left" w:pos="5304"/>
        </w:tabs>
        <w:suppressAutoHyphens/>
        <w:ind w:left="720" w:right="720"/>
        <w:rPr>
          <w:rFonts w:asciiTheme="minorHAnsi" w:hAnsiTheme="minorHAnsi"/>
          <w:b/>
          <w:smallCaps/>
          <w:sz w:val="20"/>
        </w:rPr>
      </w:pPr>
    </w:p>
    <w:tbl>
      <w:tblPr>
        <w:tblW w:w="0" w:type="auto"/>
        <w:tblInd w:w="300" w:type="dxa"/>
        <w:tblLayout w:type="fixed"/>
        <w:tblCellMar>
          <w:left w:w="120" w:type="dxa"/>
          <w:right w:w="120" w:type="dxa"/>
        </w:tblCellMar>
        <w:tblLook w:val="0000" w:firstRow="0" w:lastRow="0" w:firstColumn="0" w:lastColumn="0" w:noHBand="0" w:noVBand="0"/>
      </w:tblPr>
      <w:tblGrid>
        <w:gridCol w:w="4500"/>
        <w:gridCol w:w="3420"/>
        <w:gridCol w:w="2340"/>
      </w:tblGrid>
      <w:tr w:rsidR="00442177" w:rsidRPr="005679EE" w14:paraId="140F2CB5" w14:textId="77777777" w:rsidTr="00576876">
        <w:tc>
          <w:tcPr>
            <w:tcW w:w="4500" w:type="dxa"/>
            <w:tcBorders>
              <w:top w:val="double" w:sz="7" w:space="0" w:color="auto"/>
              <w:left w:val="double" w:sz="7" w:space="0" w:color="auto"/>
              <w:bottom w:val="double" w:sz="7" w:space="0" w:color="auto"/>
            </w:tcBorders>
          </w:tcPr>
          <w:p w14:paraId="53611A51" w14:textId="77777777" w:rsidR="00442177" w:rsidRPr="005679EE" w:rsidRDefault="00442177" w:rsidP="00D028E1">
            <w:pPr>
              <w:tabs>
                <w:tab w:val="left" w:pos="-720"/>
                <w:tab w:val="left" w:pos="0"/>
                <w:tab w:val="left" w:pos="117"/>
                <w:tab w:val="left" w:pos="294"/>
                <w:tab w:val="left" w:pos="720"/>
                <w:tab w:val="left" w:pos="3124"/>
                <w:tab w:val="left" w:pos="3374"/>
                <w:tab w:val="left" w:pos="5054"/>
                <w:tab w:val="left" w:pos="5304"/>
              </w:tabs>
              <w:suppressAutoHyphens/>
              <w:spacing w:before="90" w:after="54"/>
              <w:rPr>
                <w:rFonts w:asciiTheme="minorHAnsi" w:hAnsiTheme="minorHAnsi"/>
                <w:b/>
                <w:smallCaps/>
                <w:sz w:val="20"/>
              </w:rPr>
            </w:pPr>
            <w:r w:rsidRPr="005679EE">
              <w:rPr>
                <w:rFonts w:asciiTheme="minorHAnsi" w:hAnsiTheme="minorHAnsi"/>
                <w:b/>
                <w:smallCaps/>
                <w:sz w:val="20"/>
              </w:rPr>
              <w:t>Name</w:t>
            </w:r>
            <w:r>
              <w:rPr>
                <w:rFonts w:asciiTheme="minorHAnsi" w:hAnsiTheme="minorHAnsi"/>
                <w:b/>
                <w:smallCaps/>
                <w:sz w:val="20"/>
              </w:rPr>
              <w:t>/ Title</w:t>
            </w:r>
            <w:r w:rsidRPr="005679EE">
              <w:rPr>
                <w:rFonts w:asciiTheme="minorHAnsi" w:hAnsiTheme="minorHAnsi"/>
                <w:b/>
                <w:smallCaps/>
                <w:sz w:val="20"/>
              </w:rPr>
              <w:t>:</w:t>
            </w:r>
          </w:p>
          <w:p w14:paraId="4F3B7F00" w14:textId="77777777" w:rsidR="00442177" w:rsidRPr="005679EE" w:rsidRDefault="00442177" w:rsidP="00D028E1">
            <w:pPr>
              <w:tabs>
                <w:tab w:val="left" w:pos="-720"/>
                <w:tab w:val="left" w:pos="0"/>
                <w:tab w:val="left" w:pos="117"/>
                <w:tab w:val="left" w:pos="294"/>
                <w:tab w:val="left" w:pos="720"/>
                <w:tab w:val="left" w:pos="3124"/>
                <w:tab w:val="left" w:pos="3374"/>
                <w:tab w:val="left" w:pos="5054"/>
                <w:tab w:val="left" w:pos="5304"/>
              </w:tabs>
              <w:suppressAutoHyphens/>
              <w:spacing w:before="90" w:after="54"/>
              <w:rPr>
                <w:rFonts w:asciiTheme="minorHAnsi" w:hAnsiTheme="minorHAnsi"/>
                <w:b/>
                <w:smallCaps/>
                <w:sz w:val="20"/>
              </w:rPr>
            </w:pPr>
          </w:p>
        </w:tc>
        <w:tc>
          <w:tcPr>
            <w:tcW w:w="3420" w:type="dxa"/>
            <w:tcBorders>
              <w:top w:val="double" w:sz="7" w:space="0" w:color="auto"/>
              <w:left w:val="single" w:sz="7" w:space="0" w:color="auto"/>
              <w:bottom w:val="double" w:sz="7" w:space="0" w:color="auto"/>
            </w:tcBorders>
          </w:tcPr>
          <w:p w14:paraId="3883FA38" w14:textId="77777777" w:rsidR="00442177" w:rsidRPr="005679EE" w:rsidRDefault="00442177" w:rsidP="00D028E1">
            <w:pPr>
              <w:tabs>
                <w:tab w:val="left" w:pos="-720"/>
                <w:tab w:val="left" w:pos="0"/>
                <w:tab w:val="left" w:pos="117"/>
                <w:tab w:val="left" w:pos="294"/>
                <w:tab w:val="left" w:pos="720"/>
                <w:tab w:val="left" w:pos="3124"/>
                <w:tab w:val="left" w:pos="3374"/>
                <w:tab w:val="left" w:pos="5054"/>
                <w:tab w:val="left" w:pos="5304"/>
              </w:tabs>
              <w:suppressAutoHyphens/>
              <w:spacing w:before="90" w:after="54"/>
              <w:rPr>
                <w:rFonts w:asciiTheme="minorHAnsi" w:hAnsiTheme="minorHAnsi"/>
                <w:b/>
                <w:smallCaps/>
                <w:sz w:val="20"/>
              </w:rPr>
            </w:pPr>
            <w:r w:rsidRPr="005679EE">
              <w:rPr>
                <w:rFonts w:asciiTheme="minorHAnsi" w:hAnsiTheme="minorHAnsi"/>
                <w:b/>
                <w:smallCaps/>
                <w:sz w:val="20"/>
              </w:rPr>
              <w:t>Signature:</w:t>
            </w:r>
          </w:p>
        </w:tc>
        <w:tc>
          <w:tcPr>
            <w:tcW w:w="2340" w:type="dxa"/>
            <w:tcBorders>
              <w:top w:val="double" w:sz="7" w:space="0" w:color="auto"/>
              <w:left w:val="single" w:sz="7" w:space="0" w:color="auto"/>
              <w:bottom w:val="double" w:sz="7" w:space="0" w:color="auto"/>
              <w:right w:val="double" w:sz="7" w:space="0" w:color="auto"/>
            </w:tcBorders>
          </w:tcPr>
          <w:p w14:paraId="3A22FA4E" w14:textId="77777777" w:rsidR="00442177" w:rsidRPr="005679EE" w:rsidRDefault="00442177" w:rsidP="00D028E1">
            <w:pPr>
              <w:tabs>
                <w:tab w:val="left" w:pos="-720"/>
                <w:tab w:val="left" w:pos="0"/>
                <w:tab w:val="left" w:pos="117"/>
                <w:tab w:val="left" w:pos="294"/>
                <w:tab w:val="left" w:pos="720"/>
                <w:tab w:val="left" w:pos="3124"/>
                <w:tab w:val="left" w:pos="3374"/>
                <w:tab w:val="left" w:pos="5054"/>
                <w:tab w:val="left" w:pos="5304"/>
              </w:tabs>
              <w:suppressAutoHyphens/>
              <w:spacing w:before="90"/>
              <w:rPr>
                <w:rFonts w:asciiTheme="minorHAnsi" w:hAnsiTheme="minorHAnsi"/>
                <w:b/>
                <w:smallCaps/>
                <w:sz w:val="20"/>
              </w:rPr>
            </w:pPr>
            <w:r w:rsidRPr="005679EE">
              <w:rPr>
                <w:rFonts w:asciiTheme="minorHAnsi" w:hAnsiTheme="minorHAnsi"/>
                <w:b/>
                <w:smallCaps/>
                <w:sz w:val="20"/>
              </w:rPr>
              <w:t>Date:</w:t>
            </w:r>
          </w:p>
          <w:p w14:paraId="6AE95282" w14:textId="77777777" w:rsidR="00442177" w:rsidRPr="005679EE" w:rsidRDefault="00442177" w:rsidP="00D028E1">
            <w:pPr>
              <w:tabs>
                <w:tab w:val="left" w:pos="-720"/>
                <w:tab w:val="left" w:pos="0"/>
                <w:tab w:val="left" w:pos="117"/>
                <w:tab w:val="left" w:pos="294"/>
                <w:tab w:val="left" w:pos="720"/>
                <w:tab w:val="left" w:pos="3124"/>
                <w:tab w:val="left" w:pos="3374"/>
                <w:tab w:val="left" w:pos="5054"/>
                <w:tab w:val="left" w:pos="5304"/>
              </w:tabs>
              <w:suppressAutoHyphens/>
              <w:spacing w:after="54"/>
              <w:rPr>
                <w:rFonts w:asciiTheme="minorHAnsi" w:hAnsiTheme="minorHAnsi"/>
                <w:b/>
                <w:smallCaps/>
                <w:sz w:val="20"/>
              </w:rPr>
            </w:pPr>
          </w:p>
        </w:tc>
      </w:tr>
      <w:tr w:rsidR="00442177" w:rsidRPr="005679EE" w14:paraId="780E9C15" w14:textId="77777777" w:rsidTr="00576876">
        <w:tc>
          <w:tcPr>
            <w:tcW w:w="4500" w:type="dxa"/>
            <w:tcBorders>
              <w:top w:val="double" w:sz="7" w:space="0" w:color="auto"/>
              <w:left w:val="double" w:sz="7" w:space="0" w:color="auto"/>
              <w:bottom w:val="double" w:sz="7" w:space="0" w:color="auto"/>
            </w:tcBorders>
          </w:tcPr>
          <w:p w14:paraId="2532C963" w14:textId="77777777" w:rsidR="00442177" w:rsidRPr="005679EE" w:rsidRDefault="00442177" w:rsidP="00D028E1">
            <w:pPr>
              <w:tabs>
                <w:tab w:val="left" w:pos="-720"/>
                <w:tab w:val="left" w:pos="0"/>
                <w:tab w:val="left" w:pos="117"/>
                <w:tab w:val="left" w:pos="294"/>
                <w:tab w:val="left" w:pos="720"/>
                <w:tab w:val="left" w:pos="3124"/>
                <w:tab w:val="left" w:pos="3374"/>
                <w:tab w:val="left" w:pos="5054"/>
                <w:tab w:val="left" w:pos="5304"/>
              </w:tabs>
              <w:suppressAutoHyphens/>
              <w:spacing w:before="90" w:after="54"/>
              <w:rPr>
                <w:rFonts w:asciiTheme="minorHAnsi" w:hAnsiTheme="minorHAnsi"/>
                <w:b/>
                <w:smallCaps/>
                <w:sz w:val="20"/>
              </w:rPr>
            </w:pPr>
          </w:p>
        </w:tc>
        <w:tc>
          <w:tcPr>
            <w:tcW w:w="3420" w:type="dxa"/>
            <w:tcBorders>
              <w:top w:val="double" w:sz="7" w:space="0" w:color="auto"/>
              <w:left w:val="single" w:sz="7" w:space="0" w:color="auto"/>
              <w:bottom w:val="double" w:sz="7" w:space="0" w:color="auto"/>
            </w:tcBorders>
          </w:tcPr>
          <w:p w14:paraId="2864A632" w14:textId="77777777" w:rsidR="00442177" w:rsidRPr="005679EE" w:rsidRDefault="00442177" w:rsidP="00D028E1">
            <w:pPr>
              <w:tabs>
                <w:tab w:val="left" w:pos="-720"/>
                <w:tab w:val="left" w:pos="0"/>
                <w:tab w:val="left" w:pos="117"/>
                <w:tab w:val="left" w:pos="294"/>
                <w:tab w:val="left" w:pos="720"/>
                <w:tab w:val="left" w:pos="3124"/>
                <w:tab w:val="left" w:pos="3374"/>
                <w:tab w:val="left" w:pos="5054"/>
                <w:tab w:val="left" w:pos="5304"/>
              </w:tabs>
              <w:suppressAutoHyphens/>
              <w:spacing w:before="90" w:after="54"/>
              <w:rPr>
                <w:rFonts w:asciiTheme="minorHAnsi" w:hAnsiTheme="minorHAnsi"/>
                <w:b/>
                <w:smallCaps/>
                <w:sz w:val="20"/>
              </w:rPr>
            </w:pPr>
          </w:p>
        </w:tc>
        <w:tc>
          <w:tcPr>
            <w:tcW w:w="2340" w:type="dxa"/>
            <w:tcBorders>
              <w:top w:val="double" w:sz="7" w:space="0" w:color="auto"/>
              <w:left w:val="single" w:sz="7" w:space="0" w:color="auto"/>
              <w:bottom w:val="double" w:sz="7" w:space="0" w:color="auto"/>
              <w:right w:val="double" w:sz="7" w:space="0" w:color="auto"/>
            </w:tcBorders>
          </w:tcPr>
          <w:p w14:paraId="38488DBA" w14:textId="77777777" w:rsidR="00442177" w:rsidRDefault="00442177" w:rsidP="00D028E1">
            <w:pPr>
              <w:tabs>
                <w:tab w:val="left" w:pos="-720"/>
                <w:tab w:val="left" w:pos="0"/>
                <w:tab w:val="left" w:pos="117"/>
                <w:tab w:val="left" w:pos="294"/>
                <w:tab w:val="left" w:pos="720"/>
                <w:tab w:val="left" w:pos="3124"/>
                <w:tab w:val="left" w:pos="3374"/>
                <w:tab w:val="left" w:pos="5054"/>
                <w:tab w:val="left" w:pos="5304"/>
              </w:tabs>
              <w:suppressAutoHyphens/>
              <w:spacing w:before="90"/>
              <w:rPr>
                <w:rFonts w:asciiTheme="minorHAnsi" w:hAnsiTheme="minorHAnsi"/>
                <w:b/>
                <w:smallCaps/>
                <w:sz w:val="20"/>
              </w:rPr>
            </w:pPr>
          </w:p>
          <w:p w14:paraId="5271EFF0" w14:textId="77777777" w:rsidR="00442177" w:rsidRPr="005679EE" w:rsidRDefault="00442177" w:rsidP="00D028E1">
            <w:pPr>
              <w:tabs>
                <w:tab w:val="left" w:pos="-720"/>
                <w:tab w:val="left" w:pos="0"/>
                <w:tab w:val="left" w:pos="117"/>
                <w:tab w:val="left" w:pos="294"/>
                <w:tab w:val="left" w:pos="720"/>
                <w:tab w:val="left" w:pos="3124"/>
                <w:tab w:val="left" w:pos="3374"/>
                <w:tab w:val="left" w:pos="5054"/>
                <w:tab w:val="left" w:pos="5304"/>
              </w:tabs>
              <w:suppressAutoHyphens/>
              <w:spacing w:before="90"/>
              <w:rPr>
                <w:rFonts w:asciiTheme="minorHAnsi" w:hAnsiTheme="minorHAnsi"/>
                <w:b/>
                <w:smallCaps/>
                <w:sz w:val="20"/>
              </w:rPr>
            </w:pPr>
          </w:p>
        </w:tc>
      </w:tr>
    </w:tbl>
    <w:p w14:paraId="298507F8" w14:textId="52849288" w:rsidR="00CA6F80" w:rsidRDefault="00CA6F80" w:rsidP="00CA6F80">
      <w:pPr>
        <w:pStyle w:val="Heading2"/>
        <w:numPr>
          <w:ilvl w:val="0"/>
          <w:numId w:val="0"/>
        </w:numPr>
        <w:ind w:left="720"/>
      </w:pPr>
      <w:bookmarkStart w:id="0" w:name="_Ref436205455"/>
      <w:bookmarkStart w:id="1" w:name="_Toc503116327"/>
      <w:bookmarkStart w:id="2" w:name="_Toc189668387"/>
      <w:r>
        <w:lastRenderedPageBreak/>
        <w:t>King County Guidelines</w:t>
      </w:r>
      <w:r w:rsidR="00075EE7">
        <w:t xml:space="preserve"> for CHG</w:t>
      </w:r>
    </w:p>
    <w:p w14:paraId="0E3E0793" w14:textId="367B0BEB" w:rsidR="004C455A" w:rsidRDefault="00CA6F80" w:rsidP="00CA6F80">
      <w:pPr>
        <w:pStyle w:val="Heading2"/>
        <w:numPr>
          <w:ilvl w:val="0"/>
          <w:numId w:val="0"/>
        </w:numPr>
        <w:ind w:left="720"/>
      </w:pPr>
      <w:r>
        <w:t xml:space="preserve">Section 7.7 </w:t>
      </w:r>
      <w:r w:rsidR="004C455A">
        <w:t>Rent Limit</w:t>
      </w:r>
      <w:bookmarkEnd w:id="0"/>
      <w:r w:rsidR="004C455A">
        <w:t>s by Location and Unit Size</w:t>
      </w:r>
      <w:bookmarkEnd w:id="1"/>
      <w:bookmarkEnd w:id="2"/>
    </w:p>
    <w:p w14:paraId="7CB53F35" w14:textId="77777777" w:rsidR="004C455A" w:rsidRPr="003366EA" w:rsidRDefault="004C455A" w:rsidP="004C455A">
      <w:pPr>
        <w:pStyle w:val="Header"/>
        <w:tabs>
          <w:tab w:val="left" w:pos="720"/>
        </w:tabs>
        <w:spacing w:before="120"/>
        <w:ind w:left="720"/>
        <w:rPr>
          <w:rFonts w:asciiTheme="minorHAnsi" w:hAnsiTheme="minorHAnsi" w:cstheme="minorHAnsi"/>
          <w:sz w:val="22"/>
          <w:szCs w:val="22"/>
        </w:rPr>
      </w:pPr>
      <w:r w:rsidRPr="003366EA">
        <w:rPr>
          <w:rFonts w:asciiTheme="minorHAnsi" w:hAnsiTheme="minorHAnsi" w:cstheme="minorHAnsi"/>
          <w:iCs/>
          <w:sz w:val="22"/>
          <w:szCs w:val="22"/>
        </w:rPr>
        <w:t xml:space="preserve">Programs must determine and document rent limits for all units for which CHG rental assistance (including arrears) is provided. This requirement applies when households move into new units or stay in the same unit; and must be completed before the subsidy is paid. </w:t>
      </w:r>
    </w:p>
    <w:p w14:paraId="5046C5EB" w14:textId="77777777" w:rsidR="004C455A" w:rsidRPr="003366EA" w:rsidRDefault="004C455A" w:rsidP="004C455A">
      <w:pPr>
        <w:tabs>
          <w:tab w:val="left" w:pos="450"/>
        </w:tabs>
        <w:spacing w:before="120"/>
        <w:ind w:left="720"/>
        <w:rPr>
          <w:rFonts w:asciiTheme="minorHAnsi" w:hAnsiTheme="minorHAnsi" w:cstheme="minorHAnsi"/>
          <w:sz w:val="22"/>
          <w:szCs w:val="22"/>
        </w:rPr>
      </w:pPr>
      <w:r w:rsidRPr="003366EA">
        <w:rPr>
          <w:rFonts w:asciiTheme="minorHAnsi" w:hAnsiTheme="minorHAnsi" w:cstheme="minorHAnsi"/>
          <w:sz w:val="22"/>
          <w:szCs w:val="22"/>
        </w:rPr>
        <w:t>Unit rents must not exceed Fair Market Rent (FMR</w:t>
      </w:r>
      <w:proofErr w:type="gramStart"/>
      <w:r w:rsidRPr="003366EA">
        <w:rPr>
          <w:rFonts w:asciiTheme="minorHAnsi" w:hAnsiTheme="minorHAnsi" w:cstheme="minorHAnsi"/>
          <w:sz w:val="22"/>
          <w:szCs w:val="22"/>
        </w:rPr>
        <w:t>)</w:t>
      </w:r>
      <w:proofErr w:type="gramEnd"/>
      <w:r w:rsidRPr="003366EA">
        <w:rPr>
          <w:rFonts w:asciiTheme="minorHAnsi" w:hAnsiTheme="minorHAnsi" w:cstheme="minorHAnsi"/>
          <w:sz w:val="22"/>
          <w:szCs w:val="22"/>
        </w:rPr>
        <w:t xml:space="preserve"> or the applicable King County Housing Authority or Seattle Housing Authority payment standard based on location and unit size, whichever is higher as long as the amount does not exceed 150% of FMR. If electricity and heat are not included in the rent, then subtract the utility allowance (based on unit size) from the rent limit as described on the form. Programs must use the King County CHG Rent Limits Checklist and Certification form to document rent limits.  This form must be retained in the client file.</w:t>
      </w:r>
    </w:p>
    <w:p w14:paraId="4623B757" w14:textId="77777777" w:rsidR="004C455A" w:rsidRPr="003366EA" w:rsidRDefault="004C455A" w:rsidP="004C455A">
      <w:pPr>
        <w:tabs>
          <w:tab w:val="left" w:pos="450"/>
        </w:tabs>
        <w:spacing w:before="120"/>
        <w:ind w:left="720"/>
        <w:rPr>
          <w:rFonts w:asciiTheme="minorHAnsi" w:hAnsiTheme="minorHAnsi" w:cstheme="minorHAnsi"/>
          <w:sz w:val="22"/>
          <w:szCs w:val="22"/>
        </w:rPr>
      </w:pPr>
      <w:r w:rsidRPr="003366EA">
        <w:rPr>
          <w:rFonts w:asciiTheme="minorHAnsi" w:hAnsiTheme="minorHAnsi" w:cstheme="minorHAnsi"/>
          <w:sz w:val="22"/>
          <w:szCs w:val="22"/>
        </w:rPr>
        <w:t xml:space="preserve">HUD Fair Market Rents (FMR) for King County are adjusted annually and can be found online at </w:t>
      </w:r>
      <w:hyperlink r:id="rId12" w:history="1">
        <w:r w:rsidRPr="003366EA">
          <w:rPr>
            <w:rStyle w:val="Hyperlink"/>
            <w:rFonts w:asciiTheme="minorHAnsi" w:hAnsiTheme="minorHAnsi" w:cstheme="minorHAnsi"/>
            <w:sz w:val="22"/>
            <w:szCs w:val="22"/>
          </w:rPr>
          <w:t>https://www.huduser.gov/portal/datasets/fmr.html</w:t>
        </w:r>
      </w:hyperlink>
      <w:r w:rsidRPr="003366EA">
        <w:rPr>
          <w:rFonts w:asciiTheme="minorHAnsi" w:hAnsiTheme="minorHAnsi" w:cstheme="minorHAnsi"/>
          <w:sz w:val="22"/>
          <w:szCs w:val="22"/>
        </w:rPr>
        <w:t>.</w:t>
      </w:r>
    </w:p>
    <w:p w14:paraId="633D5ED1" w14:textId="77777777" w:rsidR="004C455A" w:rsidRPr="003366EA" w:rsidRDefault="004C455A" w:rsidP="004C455A">
      <w:pPr>
        <w:pStyle w:val="Header"/>
        <w:tabs>
          <w:tab w:val="left" w:pos="720"/>
        </w:tabs>
        <w:spacing w:before="120"/>
        <w:ind w:left="720"/>
        <w:rPr>
          <w:rFonts w:asciiTheme="minorHAnsi" w:hAnsiTheme="minorHAnsi" w:cstheme="minorHAnsi"/>
          <w:sz w:val="22"/>
          <w:szCs w:val="22"/>
        </w:rPr>
      </w:pPr>
      <w:r w:rsidRPr="003366EA">
        <w:rPr>
          <w:rFonts w:asciiTheme="minorHAnsi" w:hAnsiTheme="minorHAnsi" w:cstheme="minorHAnsi"/>
          <w:sz w:val="22"/>
          <w:szCs w:val="22"/>
        </w:rPr>
        <w:t xml:space="preserve">King County Housing Authority payment standards can be found online at </w:t>
      </w:r>
      <w:hyperlink r:id="rId13" w:history="1">
        <w:r w:rsidRPr="003366EA">
          <w:rPr>
            <w:rStyle w:val="Hyperlink"/>
            <w:rFonts w:asciiTheme="minorHAnsi" w:hAnsiTheme="minorHAnsi" w:cstheme="minorHAnsi"/>
            <w:sz w:val="22"/>
            <w:szCs w:val="22"/>
          </w:rPr>
          <w:t>https://www.kcha.org/documents/135.pdf</w:t>
        </w:r>
      </w:hyperlink>
      <w:r w:rsidRPr="003366EA">
        <w:rPr>
          <w:rFonts w:asciiTheme="minorHAnsi" w:hAnsiTheme="minorHAnsi" w:cstheme="minorHAnsi"/>
          <w:sz w:val="22"/>
          <w:szCs w:val="22"/>
        </w:rPr>
        <w:t xml:space="preserve">.     </w:t>
      </w:r>
    </w:p>
    <w:p w14:paraId="446B6C70" w14:textId="77777777" w:rsidR="004C455A" w:rsidRPr="003366EA" w:rsidRDefault="004C455A" w:rsidP="004C455A">
      <w:pPr>
        <w:pStyle w:val="Header"/>
        <w:tabs>
          <w:tab w:val="left" w:pos="720"/>
        </w:tabs>
        <w:spacing w:before="120"/>
        <w:ind w:left="720"/>
        <w:rPr>
          <w:rFonts w:asciiTheme="minorHAnsi" w:hAnsiTheme="minorHAnsi" w:cstheme="minorHAnsi"/>
          <w:sz w:val="22"/>
          <w:szCs w:val="22"/>
        </w:rPr>
      </w:pPr>
      <w:r w:rsidRPr="003366EA">
        <w:rPr>
          <w:rFonts w:asciiTheme="minorHAnsi" w:hAnsiTheme="minorHAnsi" w:cstheme="minorHAnsi"/>
          <w:sz w:val="22"/>
          <w:szCs w:val="22"/>
        </w:rPr>
        <w:t xml:space="preserve">Seattle Housing Authority payment standards can be found online at </w:t>
      </w:r>
      <w:hyperlink r:id="rId14" w:history="1">
        <w:r w:rsidRPr="003366EA">
          <w:rPr>
            <w:rStyle w:val="Hyperlink"/>
            <w:rFonts w:asciiTheme="minorHAnsi" w:hAnsiTheme="minorHAnsi" w:cstheme="minorHAnsi"/>
            <w:sz w:val="22"/>
            <w:szCs w:val="22"/>
          </w:rPr>
          <w:t>https://www.seattlehousing.org/housing/housing-choice-vouchers/renting-voucher/voucher-payment-standards</w:t>
        </w:r>
      </w:hyperlink>
      <w:r w:rsidRPr="003366EA">
        <w:rPr>
          <w:rFonts w:asciiTheme="minorHAnsi" w:hAnsiTheme="minorHAnsi" w:cstheme="minorHAnsi"/>
          <w:sz w:val="22"/>
          <w:szCs w:val="22"/>
        </w:rPr>
        <w:t xml:space="preserve">.  </w:t>
      </w:r>
    </w:p>
    <w:p w14:paraId="682BEFD5" w14:textId="77777777" w:rsidR="004C455A" w:rsidRPr="003366EA" w:rsidRDefault="004C455A" w:rsidP="004C455A">
      <w:pPr>
        <w:pStyle w:val="Header"/>
        <w:tabs>
          <w:tab w:val="left" w:pos="720"/>
        </w:tabs>
        <w:spacing w:before="120"/>
        <w:ind w:left="720"/>
        <w:rPr>
          <w:rStyle w:val="Hyperlink"/>
          <w:rFonts w:asciiTheme="minorHAnsi" w:hAnsiTheme="minorHAnsi" w:cstheme="minorHAnsi"/>
          <w:b/>
          <w:color w:val="000000" w:themeColor="text1"/>
          <w:sz w:val="22"/>
          <w:szCs w:val="22"/>
        </w:rPr>
      </w:pPr>
      <w:r w:rsidRPr="003366EA">
        <w:rPr>
          <w:rFonts w:asciiTheme="minorHAnsi" w:hAnsiTheme="minorHAnsi" w:cstheme="minorHAnsi"/>
          <w:sz w:val="22"/>
          <w:szCs w:val="22"/>
        </w:rPr>
        <w:t>Exceptions to rent limits must be documented in the client file together with “rent reasonableness” comparison of three comparable units in that zip code.</w:t>
      </w:r>
    </w:p>
    <w:p w14:paraId="46C7B23E" w14:textId="20D3E6D8" w:rsidR="00CD5A0C" w:rsidRDefault="00CD5A0C" w:rsidP="00050E63"/>
    <w:p w14:paraId="13C3F249" w14:textId="77777777" w:rsidR="00CD5A0C" w:rsidRDefault="00CD5A0C" w:rsidP="007A0A45"/>
    <w:sectPr w:rsidR="00CD5A0C" w:rsidSect="00365972">
      <w:footerReference w:type="default" r:id="rId15"/>
      <w:headerReference w:type="first" r:id="rId16"/>
      <w:footerReference w:type="first" r:id="rId17"/>
      <w:pgSz w:w="12240" w:h="15840"/>
      <w:pgMar w:top="720" w:right="720" w:bottom="720" w:left="72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0F56B6" w14:textId="77777777" w:rsidR="00AD2694" w:rsidRDefault="00AD2694" w:rsidP="000F19BD">
      <w:r>
        <w:separator/>
      </w:r>
    </w:p>
  </w:endnote>
  <w:endnote w:type="continuationSeparator" w:id="0">
    <w:p w14:paraId="6B3A2B65" w14:textId="77777777" w:rsidR="00AD2694" w:rsidRDefault="00AD2694" w:rsidP="000F19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E1C9E5" w14:textId="77777777" w:rsidR="000F19BD" w:rsidRPr="00576876" w:rsidRDefault="000F19BD">
    <w:pPr>
      <w:pStyle w:val="Footer"/>
      <w:rPr>
        <w:rFonts w:asciiTheme="minorHAnsi" w:hAnsiTheme="minorHAnsi"/>
        <w:sz w:val="20"/>
        <w:szCs w:val="20"/>
      </w:rPr>
    </w:pPr>
    <w:r w:rsidRPr="00576876">
      <w:rPr>
        <w:rFonts w:asciiTheme="minorHAnsi" w:hAnsiTheme="minorHAnsi"/>
        <w:sz w:val="20"/>
        <w:szCs w:val="20"/>
      </w:rPr>
      <w:t>King County CHG Rent Limits Checklist</w:t>
    </w:r>
    <w:r w:rsidR="00365972">
      <w:rPr>
        <w:rFonts w:asciiTheme="minorHAnsi" w:hAnsiTheme="minorHAnsi"/>
        <w:sz w:val="20"/>
        <w:szCs w:val="20"/>
      </w:rPr>
      <w:t xml:space="preserve"> Page 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FC75EA" w14:textId="77777777" w:rsidR="00365972" w:rsidRPr="00365972" w:rsidRDefault="00365972">
    <w:pPr>
      <w:pStyle w:val="Footer"/>
      <w:rPr>
        <w:rFonts w:asciiTheme="minorHAnsi" w:hAnsiTheme="minorHAnsi"/>
        <w:sz w:val="20"/>
        <w:szCs w:val="20"/>
      </w:rPr>
    </w:pPr>
    <w:r w:rsidRPr="00365972">
      <w:rPr>
        <w:rFonts w:asciiTheme="minorHAnsi" w:hAnsiTheme="minorHAnsi"/>
        <w:sz w:val="20"/>
        <w:szCs w:val="20"/>
      </w:rPr>
      <w:t>King County CHG Rent Limits Checklist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D21959" w14:textId="77777777" w:rsidR="00AD2694" w:rsidRDefault="00AD2694" w:rsidP="000F19BD">
      <w:r>
        <w:separator/>
      </w:r>
    </w:p>
  </w:footnote>
  <w:footnote w:type="continuationSeparator" w:id="0">
    <w:p w14:paraId="4AF8E572" w14:textId="77777777" w:rsidR="00AD2694" w:rsidRDefault="00AD2694" w:rsidP="000F19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F15A99" w14:textId="119D068C" w:rsidR="00365972" w:rsidRDefault="00365972" w:rsidP="00365972">
    <w:pPr>
      <w:pStyle w:val="TitleatTopofPage"/>
      <w:spacing w:after="0"/>
      <w:jc w:val="right"/>
      <w:rPr>
        <w:rFonts w:asciiTheme="minorHAnsi" w:hAnsiTheme="minorHAnsi"/>
        <w:b w:val="0"/>
        <w:sz w:val="16"/>
      </w:rPr>
    </w:pPr>
    <w:r w:rsidRPr="00135AB4">
      <w:rPr>
        <w:rFonts w:asciiTheme="minorHAnsi" w:hAnsiTheme="minorHAnsi"/>
        <w:b w:val="0"/>
        <w:sz w:val="16"/>
      </w:rPr>
      <w:t xml:space="preserve">Effective Date </w:t>
    </w:r>
    <w:r w:rsidR="00E52BA6">
      <w:rPr>
        <w:rFonts w:asciiTheme="minorHAnsi" w:hAnsiTheme="minorHAnsi"/>
        <w:b w:val="0"/>
        <w:sz w:val="16"/>
      </w:rPr>
      <w:t>February 2025</w:t>
    </w:r>
  </w:p>
  <w:p w14:paraId="3F2D8F4D" w14:textId="6C3DAD16" w:rsidR="00365972" w:rsidRPr="003D3DE2" w:rsidRDefault="00365972" w:rsidP="00365972">
    <w:pPr>
      <w:pStyle w:val="TitleatTopofPage"/>
      <w:spacing w:after="0"/>
      <w:jc w:val="right"/>
      <w:rPr>
        <w:rFonts w:asciiTheme="minorHAnsi" w:hAnsiTheme="minorHAnsi"/>
        <w:b w:val="0"/>
        <w:sz w:val="16"/>
      </w:rPr>
    </w:pPr>
    <w:r>
      <w:rPr>
        <w:b w:val="0"/>
        <w:sz w:val="16"/>
      </w:rPr>
      <w:t xml:space="preserve">King County CHG </w:t>
    </w:r>
    <w:r w:rsidRPr="003D3DE2">
      <w:rPr>
        <w:b w:val="0"/>
        <w:sz w:val="16"/>
      </w:rPr>
      <w:t>(</w:t>
    </w:r>
    <w:r>
      <w:rPr>
        <w:b w:val="0"/>
        <w:sz w:val="16"/>
      </w:rPr>
      <w:t>7.</w:t>
    </w:r>
    <w:r w:rsidR="00692C92">
      <w:rPr>
        <w:b w:val="0"/>
        <w:sz w:val="16"/>
      </w:rPr>
      <w:t>7</w:t>
    </w:r>
    <w:r w:rsidRPr="003D3DE2">
      <w:rPr>
        <w:b w:val="0"/>
        <w:sz w:val="16"/>
      </w:rPr>
      <w:t>)</w:t>
    </w:r>
  </w:p>
  <w:p w14:paraId="51DF5024" w14:textId="77777777" w:rsidR="00365972" w:rsidRDefault="0036597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7A7855"/>
    <w:multiLevelType w:val="hybridMultilevel"/>
    <w:tmpl w:val="38A47EE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692B770E"/>
    <w:multiLevelType w:val="hybridMultilevel"/>
    <w:tmpl w:val="8A324516"/>
    <w:lvl w:ilvl="0" w:tplc="D612E8CE">
      <w:start w:val="1"/>
      <w:numFmt w:val="bullet"/>
      <w:lvlText w:val=""/>
      <w:lvlJc w:val="left"/>
      <w:pPr>
        <w:ind w:left="720" w:hanging="360"/>
      </w:pPr>
      <w:rPr>
        <w:rFonts w:ascii="Symbol" w:hAnsi="Symbol" w:hint="default"/>
      </w:rPr>
    </w:lvl>
    <w:lvl w:ilvl="1" w:tplc="E65E65A8">
      <w:start w:val="1"/>
      <w:numFmt w:val="bullet"/>
      <w:lvlText w:val=""/>
      <w:lvlJc w:val="left"/>
      <w:pPr>
        <w:ind w:left="1440" w:hanging="360"/>
      </w:pPr>
      <w:rPr>
        <w:rFonts w:ascii="Symbol" w:hAnsi="Symbol" w:hint="default"/>
      </w:rPr>
    </w:lvl>
    <w:lvl w:ilvl="2" w:tplc="4D2CE744">
      <w:start w:val="1"/>
      <w:numFmt w:val="bullet"/>
      <w:lvlText w:val=""/>
      <w:lvlJc w:val="left"/>
      <w:pPr>
        <w:ind w:left="2160" w:hanging="360"/>
      </w:pPr>
      <w:rPr>
        <w:rFonts w:ascii="Wingdings" w:hAnsi="Wingdings" w:hint="default"/>
      </w:rPr>
    </w:lvl>
    <w:lvl w:ilvl="3" w:tplc="D028261E">
      <w:start w:val="1"/>
      <w:numFmt w:val="bullet"/>
      <w:lvlText w:val=""/>
      <w:lvlJc w:val="left"/>
      <w:pPr>
        <w:ind w:left="2880" w:hanging="360"/>
      </w:pPr>
      <w:rPr>
        <w:rFonts w:ascii="Symbol" w:hAnsi="Symbol" w:hint="default"/>
      </w:rPr>
    </w:lvl>
    <w:lvl w:ilvl="4" w:tplc="C7E08CC0">
      <w:start w:val="1"/>
      <w:numFmt w:val="bullet"/>
      <w:lvlText w:val="o"/>
      <w:lvlJc w:val="left"/>
      <w:pPr>
        <w:ind w:left="3600" w:hanging="360"/>
      </w:pPr>
      <w:rPr>
        <w:rFonts w:ascii="Courier New" w:hAnsi="Courier New" w:hint="default"/>
      </w:rPr>
    </w:lvl>
    <w:lvl w:ilvl="5" w:tplc="06D8D5FA">
      <w:start w:val="1"/>
      <w:numFmt w:val="bullet"/>
      <w:lvlText w:val=""/>
      <w:lvlJc w:val="left"/>
      <w:pPr>
        <w:ind w:left="4320" w:hanging="360"/>
      </w:pPr>
      <w:rPr>
        <w:rFonts w:ascii="Wingdings" w:hAnsi="Wingdings" w:hint="default"/>
      </w:rPr>
    </w:lvl>
    <w:lvl w:ilvl="6" w:tplc="692A017E">
      <w:start w:val="1"/>
      <w:numFmt w:val="bullet"/>
      <w:lvlText w:val=""/>
      <w:lvlJc w:val="left"/>
      <w:pPr>
        <w:ind w:left="5040" w:hanging="360"/>
      </w:pPr>
      <w:rPr>
        <w:rFonts w:ascii="Symbol" w:hAnsi="Symbol" w:hint="default"/>
      </w:rPr>
    </w:lvl>
    <w:lvl w:ilvl="7" w:tplc="8B0CC4DE">
      <w:start w:val="1"/>
      <w:numFmt w:val="bullet"/>
      <w:lvlText w:val="o"/>
      <w:lvlJc w:val="left"/>
      <w:pPr>
        <w:ind w:left="5760" w:hanging="360"/>
      </w:pPr>
      <w:rPr>
        <w:rFonts w:ascii="Courier New" w:hAnsi="Courier New" w:hint="default"/>
      </w:rPr>
    </w:lvl>
    <w:lvl w:ilvl="8" w:tplc="EFB47A14">
      <w:start w:val="1"/>
      <w:numFmt w:val="bullet"/>
      <w:lvlText w:val=""/>
      <w:lvlJc w:val="left"/>
      <w:pPr>
        <w:ind w:left="6480" w:hanging="360"/>
      </w:pPr>
      <w:rPr>
        <w:rFonts w:ascii="Wingdings" w:hAnsi="Wingdings" w:hint="default"/>
      </w:rPr>
    </w:lvl>
  </w:abstractNum>
  <w:abstractNum w:abstractNumId="2" w15:restartNumberingAfterBreak="0">
    <w:nsid w:val="76DF08A2"/>
    <w:multiLevelType w:val="multilevel"/>
    <w:tmpl w:val="DE029BFA"/>
    <w:lvl w:ilvl="0">
      <w:start w:val="1"/>
      <w:numFmt w:val="decimal"/>
      <w:pStyle w:val="Heading1"/>
      <w:lvlText w:val="%1"/>
      <w:lvlJc w:val="left"/>
      <w:pPr>
        <w:ind w:left="432" w:hanging="432"/>
      </w:pPr>
      <w:rPr>
        <w:rFonts w:hint="default"/>
      </w:rPr>
    </w:lvl>
    <w:lvl w:ilvl="1">
      <w:start w:val="70"/>
      <w:numFmt w:val="decimal"/>
      <w:pStyle w:val="Heading2"/>
      <w:lvlText w:val="%1.%2"/>
      <w:lvlJc w:val="left"/>
      <w:pPr>
        <w:ind w:left="1566" w:hanging="576"/>
      </w:pPr>
      <w:rPr>
        <w:rFonts w:hint="default"/>
      </w:rPr>
    </w:lvl>
    <w:lvl w:ilvl="2">
      <w:start w:val="1"/>
      <w:numFmt w:val="decimal"/>
      <w:pStyle w:val="Heading3"/>
      <w:lvlText w:val="%1.%2.%3"/>
      <w:lvlJc w:val="left"/>
      <w:pPr>
        <w:ind w:left="720" w:hanging="720"/>
      </w:pPr>
      <w:rPr>
        <w:rFonts w:hint="default"/>
        <w:b/>
        <w:bCs w:val="0"/>
        <w:i w:val="0"/>
        <w:iCs w:val="0"/>
        <w:caps w:val="0"/>
        <w:smallCaps w:val="0"/>
        <w:strike w:val="0"/>
        <w:dstrike w:val="0"/>
        <w:outline w:val="0"/>
        <w:shadow w:val="0"/>
        <w:emboss w:val="0"/>
        <w:imprint w:val="0"/>
        <w:noProof w:val="0"/>
        <w:vanish w:val="0"/>
        <w:spacing w:val="0"/>
        <w:kern w:val="0"/>
        <w:position w:val="0"/>
        <w:sz w:val="22"/>
        <w:szCs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num w:numId="1" w16cid:durableId="830413902">
    <w:abstractNumId w:val="2"/>
  </w:num>
  <w:num w:numId="2" w16cid:durableId="1421366121">
    <w:abstractNumId w:val="0"/>
  </w:num>
  <w:num w:numId="3" w16cid:durableId="15414898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42177"/>
    <w:rsid w:val="00050E63"/>
    <w:rsid w:val="00075EE7"/>
    <w:rsid w:val="000F19BD"/>
    <w:rsid w:val="00215520"/>
    <w:rsid w:val="002F60A7"/>
    <w:rsid w:val="00327565"/>
    <w:rsid w:val="003366EA"/>
    <w:rsid w:val="00365972"/>
    <w:rsid w:val="00442177"/>
    <w:rsid w:val="004C455A"/>
    <w:rsid w:val="00523229"/>
    <w:rsid w:val="00576876"/>
    <w:rsid w:val="00692C92"/>
    <w:rsid w:val="006F71D6"/>
    <w:rsid w:val="00746093"/>
    <w:rsid w:val="007A0A45"/>
    <w:rsid w:val="00822106"/>
    <w:rsid w:val="008422FA"/>
    <w:rsid w:val="00940977"/>
    <w:rsid w:val="00AD2694"/>
    <w:rsid w:val="00AD439E"/>
    <w:rsid w:val="00AE185C"/>
    <w:rsid w:val="00B24C60"/>
    <w:rsid w:val="00B42F25"/>
    <w:rsid w:val="00B76923"/>
    <w:rsid w:val="00CA6F80"/>
    <w:rsid w:val="00CD5A0C"/>
    <w:rsid w:val="00E42EF0"/>
    <w:rsid w:val="00E52BA6"/>
    <w:rsid w:val="00E54964"/>
    <w:rsid w:val="00EB43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024653"/>
  <w15:docId w15:val="{1C22E0FC-FE0B-449F-B7D0-A2F63389AC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42177"/>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442177"/>
    <w:pPr>
      <w:numPr>
        <w:numId w:val="1"/>
      </w:numPr>
      <w:shd w:val="clear" w:color="auto" w:fill="D9D9D9" w:themeFill="background1" w:themeFillShade="D9"/>
      <w:outlineLvl w:val="0"/>
    </w:pPr>
    <w:rPr>
      <w:rFonts w:asciiTheme="minorHAnsi" w:hAnsiTheme="minorHAnsi"/>
      <w:b/>
    </w:rPr>
  </w:style>
  <w:style w:type="paragraph" w:styleId="Heading2">
    <w:name w:val="heading 2"/>
    <w:basedOn w:val="Normal"/>
    <w:next w:val="Normal"/>
    <w:link w:val="Heading2Char"/>
    <w:uiPriority w:val="9"/>
    <w:unhideWhenUsed/>
    <w:qFormat/>
    <w:rsid w:val="00442177"/>
    <w:pPr>
      <w:numPr>
        <w:ilvl w:val="1"/>
        <w:numId w:val="1"/>
      </w:numPr>
      <w:shd w:val="clear" w:color="auto" w:fill="C6D9F1" w:themeFill="text2" w:themeFillTint="33"/>
      <w:outlineLvl w:val="1"/>
    </w:pPr>
    <w:rPr>
      <w:rFonts w:asciiTheme="minorHAnsi" w:hAnsiTheme="minorHAnsi"/>
      <w:b/>
      <w:bCs/>
      <w:iCs/>
    </w:rPr>
  </w:style>
  <w:style w:type="paragraph" w:styleId="Heading3">
    <w:name w:val="heading 3"/>
    <w:basedOn w:val="Heading2"/>
    <w:next w:val="Normal"/>
    <w:link w:val="Heading3Char"/>
    <w:uiPriority w:val="9"/>
    <w:unhideWhenUsed/>
    <w:qFormat/>
    <w:rsid w:val="00442177"/>
    <w:pPr>
      <w:numPr>
        <w:ilvl w:val="2"/>
      </w:numPr>
      <w:shd w:val="clear" w:color="auto" w:fill="auto"/>
      <w:outlineLvl w:val="2"/>
    </w:pPr>
  </w:style>
  <w:style w:type="paragraph" w:styleId="Heading4">
    <w:name w:val="heading 4"/>
    <w:basedOn w:val="Normal"/>
    <w:next w:val="Normal"/>
    <w:link w:val="Heading4Char"/>
    <w:uiPriority w:val="99"/>
    <w:qFormat/>
    <w:rsid w:val="00442177"/>
    <w:pPr>
      <w:keepNext/>
      <w:numPr>
        <w:ilvl w:val="3"/>
        <w:numId w:val="1"/>
      </w:numPr>
      <w:spacing w:before="240" w:after="60"/>
      <w:outlineLvl w:val="3"/>
    </w:pPr>
    <w:rPr>
      <w:b/>
      <w:bCs/>
      <w:sz w:val="28"/>
      <w:szCs w:val="28"/>
    </w:rPr>
  </w:style>
  <w:style w:type="paragraph" w:styleId="Heading5">
    <w:name w:val="heading 5"/>
    <w:basedOn w:val="Normal"/>
    <w:next w:val="Normal"/>
    <w:link w:val="Heading5Char"/>
    <w:uiPriority w:val="99"/>
    <w:qFormat/>
    <w:rsid w:val="00442177"/>
    <w:pPr>
      <w:keepNext/>
      <w:keepLines/>
      <w:numPr>
        <w:ilvl w:val="4"/>
        <w:numId w:val="1"/>
      </w:numPr>
      <w:spacing w:before="200"/>
      <w:outlineLvl w:val="4"/>
    </w:pPr>
    <w:rPr>
      <w:rFonts w:ascii="Cambria" w:hAnsi="Cambria" w:cs="Cambria"/>
    </w:rPr>
  </w:style>
  <w:style w:type="paragraph" w:styleId="Heading6">
    <w:name w:val="heading 6"/>
    <w:basedOn w:val="Normal"/>
    <w:next w:val="Normal"/>
    <w:link w:val="Heading6Char"/>
    <w:uiPriority w:val="9"/>
    <w:unhideWhenUsed/>
    <w:qFormat/>
    <w:rsid w:val="00442177"/>
    <w:pPr>
      <w:numPr>
        <w:ilvl w:val="5"/>
        <w:numId w:val="1"/>
      </w:numPr>
      <w:pBdr>
        <w:top w:val="single" w:sz="4" w:space="1" w:color="auto"/>
        <w:left w:val="single" w:sz="4" w:space="4" w:color="auto"/>
        <w:bottom w:val="single" w:sz="4" w:space="1" w:color="auto"/>
        <w:right w:val="single" w:sz="4" w:space="4" w:color="auto"/>
      </w:pBdr>
      <w:shd w:val="clear" w:color="auto" w:fill="D9D9D9" w:themeFill="background1" w:themeFillShade="D9"/>
      <w:tabs>
        <w:tab w:val="center" w:pos="4680"/>
        <w:tab w:val="left" w:pos="7413"/>
      </w:tabs>
      <w:outlineLvl w:val="5"/>
    </w:pPr>
    <w:rPr>
      <w:rFonts w:asciiTheme="minorHAnsi" w:hAnsiTheme="minorHAnsi"/>
      <w:b/>
      <w:bCs/>
      <w:sz w:val="28"/>
      <w:szCs w:val="28"/>
    </w:rPr>
  </w:style>
  <w:style w:type="paragraph" w:styleId="Heading7">
    <w:name w:val="heading 7"/>
    <w:basedOn w:val="Normal"/>
    <w:next w:val="Normal"/>
    <w:link w:val="Heading7Char"/>
    <w:uiPriority w:val="9"/>
    <w:semiHidden/>
    <w:unhideWhenUsed/>
    <w:qFormat/>
    <w:rsid w:val="00442177"/>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442177"/>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442177"/>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42177"/>
    <w:rPr>
      <w:rFonts w:eastAsia="Times New Roman" w:cs="Times New Roman"/>
      <w:b/>
      <w:sz w:val="24"/>
      <w:szCs w:val="24"/>
      <w:shd w:val="clear" w:color="auto" w:fill="D9D9D9" w:themeFill="background1" w:themeFillShade="D9"/>
    </w:rPr>
  </w:style>
  <w:style w:type="character" w:customStyle="1" w:styleId="Heading2Char">
    <w:name w:val="Heading 2 Char"/>
    <w:basedOn w:val="DefaultParagraphFont"/>
    <w:link w:val="Heading2"/>
    <w:uiPriority w:val="9"/>
    <w:rsid w:val="00442177"/>
    <w:rPr>
      <w:rFonts w:eastAsia="Times New Roman" w:cs="Times New Roman"/>
      <w:b/>
      <w:bCs/>
      <w:iCs/>
      <w:sz w:val="24"/>
      <w:szCs w:val="24"/>
      <w:shd w:val="clear" w:color="auto" w:fill="C6D9F1" w:themeFill="text2" w:themeFillTint="33"/>
    </w:rPr>
  </w:style>
  <w:style w:type="character" w:customStyle="1" w:styleId="Heading3Char">
    <w:name w:val="Heading 3 Char"/>
    <w:basedOn w:val="DefaultParagraphFont"/>
    <w:link w:val="Heading3"/>
    <w:uiPriority w:val="9"/>
    <w:rsid w:val="00442177"/>
    <w:rPr>
      <w:rFonts w:eastAsia="Times New Roman" w:cs="Times New Roman"/>
      <w:b/>
      <w:bCs/>
      <w:iCs/>
      <w:sz w:val="24"/>
      <w:szCs w:val="24"/>
    </w:rPr>
  </w:style>
  <w:style w:type="character" w:customStyle="1" w:styleId="Heading4Char">
    <w:name w:val="Heading 4 Char"/>
    <w:basedOn w:val="DefaultParagraphFont"/>
    <w:link w:val="Heading4"/>
    <w:uiPriority w:val="99"/>
    <w:rsid w:val="00442177"/>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uiPriority w:val="99"/>
    <w:rsid w:val="00442177"/>
    <w:rPr>
      <w:rFonts w:ascii="Cambria" w:eastAsia="Times New Roman" w:hAnsi="Cambria" w:cs="Cambria"/>
      <w:sz w:val="24"/>
      <w:szCs w:val="24"/>
    </w:rPr>
  </w:style>
  <w:style w:type="character" w:customStyle="1" w:styleId="Heading6Char">
    <w:name w:val="Heading 6 Char"/>
    <w:basedOn w:val="DefaultParagraphFont"/>
    <w:link w:val="Heading6"/>
    <w:uiPriority w:val="9"/>
    <w:rsid w:val="00442177"/>
    <w:rPr>
      <w:rFonts w:eastAsia="Times New Roman" w:cs="Times New Roman"/>
      <w:b/>
      <w:bCs/>
      <w:sz w:val="28"/>
      <w:szCs w:val="28"/>
      <w:shd w:val="clear" w:color="auto" w:fill="D9D9D9" w:themeFill="background1" w:themeFillShade="D9"/>
    </w:rPr>
  </w:style>
  <w:style w:type="character" w:customStyle="1" w:styleId="Heading7Char">
    <w:name w:val="Heading 7 Char"/>
    <w:basedOn w:val="DefaultParagraphFont"/>
    <w:link w:val="Heading7"/>
    <w:uiPriority w:val="9"/>
    <w:semiHidden/>
    <w:rsid w:val="00442177"/>
    <w:rPr>
      <w:rFonts w:asciiTheme="majorHAnsi" w:eastAsiaTheme="majorEastAsia" w:hAnsiTheme="majorHAnsi" w:cstheme="majorBidi"/>
      <w:i/>
      <w:iCs/>
      <w:color w:val="404040" w:themeColor="text1" w:themeTint="BF"/>
      <w:sz w:val="24"/>
      <w:szCs w:val="24"/>
    </w:rPr>
  </w:style>
  <w:style w:type="character" w:customStyle="1" w:styleId="Heading8Char">
    <w:name w:val="Heading 8 Char"/>
    <w:basedOn w:val="DefaultParagraphFont"/>
    <w:link w:val="Heading8"/>
    <w:uiPriority w:val="9"/>
    <w:semiHidden/>
    <w:rsid w:val="00442177"/>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442177"/>
    <w:rPr>
      <w:rFonts w:asciiTheme="majorHAnsi" w:eastAsiaTheme="majorEastAsia" w:hAnsiTheme="majorHAnsi" w:cstheme="majorBidi"/>
      <w:i/>
      <w:iCs/>
      <w:color w:val="404040" w:themeColor="text1" w:themeTint="BF"/>
      <w:sz w:val="20"/>
      <w:szCs w:val="20"/>
    </w:rPr>
  </w:style>
  <w:style w:type="paragraph" w:styleId="ListParagraph">
    <w:name w:val="List Paragraph"/>
    <w:basedOn w:val="Normal"/>
    <w:uiPriority w:val="34"/>
    <w:qFormat/>
    <w:rsid w:val="00442177"/>
    <w:pPr>
      <w:ind w:left="720"/>
    </w:pPr>
  </w:style>
  <w:style w:type="paragraph" w:styleId="Title">
    <w:name w:val="Title"/>
    <w:basedOn w:val="Normal"/>
    <w:link w:val="TitleChar"/>
    <w:uiPriority w:val="99"/>
    <w:qFormat/>
    <w:rsid w:val="00442177"/>
    <w:pPr>
      <w:tabs>
        <w:tab w:val="center" w:pos="5400"/>
      </w:tabs>
      <w:suppressAutoHyphens/>
      <w:ind w:left="720" w:right="720"/>
      <w:jc w:val="center"/>
    </w:pPr>
    <w:rPr>
      <w:rFonts w:ascii="Arial" w:hAnsi="Arial"/>
      <w:b/>
      <w:sz w:val="22"/>
      <w:szCs w:val="20"/>
    </w:rPr>
  </w:style>
  <w:style w:type="character" w:customStyle="1" w:styleId="TitleChar">
    <w:name w:val="Title Char"/>
    <w:basedOn w:val="DefaultParagraphFont"/>
    <w:link w:val="Title"/>
    <w:uiPriority w:val="99"/>
    <w:rsid w:val="00442177"/>
    <w:rPr>
      <w:rFonts w:ascii="Arial" w:eastAsia="Times New Roman" w:hAnsi="Arial" w:cs="Times New Roman"/>
      <w:b/>
      <w:szCs w:val="20"/>
    </w:rPr>
  </w:style>
  <w:style w:type="paragraph" w:styleId="BlockText">
    <w:name w:val="Block Text"/>
    <w:basedOn w:val="Normal"/>
    <w:semiHidden/>
    <w:rsid w:val="00442177"/>
    <w:pPr>
      <w:tabs>
        <w:tab w:val="left" w:pos="-720"/>
        <w:tab w:val="left" w:pos="0"/>
        <w:tab w:val="left" w:pos="117"/>
        <w:tab w:val="left" w:pos="294"/>
        <w:tab w:val="left" w:pos="720"/>
        <w:tab w:val="left" w:pos="3124"/>
        <w:tab w:val="left" w:pos="3374"/>
        <w:tab w:val="left" w:pos="5054"/>
        <w:tab w:val="left" w:pos="5304"/>
      </w:tabs>
      <w:suppressAutoHyphens/>
      <w:ind w:left="720" w:right="720"/>
    </w:pPr>
    <w:rPr>
      <w:rFonts w:ascii="Arial" w:hAnsi="Arial"/>
      <w:sz w:val="20"/>
      <w:szCs w:val="20"/>
    </w:rPr>
  </w:style>
  <w:style w:type="paragraph" w:styleId="Header">
    <w:name w:val="header"/>
    <w:basedOn w:val="Normal"/>
    <w:link w:val="HeaderChar"/>
    <w:uiPriority w:val="99"/>
    <w:unhideWhenUsed/>
    <w:rsid w:val="000F19BD"/>
    <w:pPr>
      <w:tabs>
        <w:tab w:val="center" w:pos="4680"/>
        <w:tab w:val="right" w:pos="9360"/>
      </w:tabs>
    </w:pPr>
  </w:style>
  <w:style w:type="character" w:customStyle="1" w:styleId="HeaderChar">
    <w:name w:val="Header Char"/>
    <w:basedOn w:val="DefaultParagraphFont"/>
    <w:link w:val="Header"/>
    <w:uiPriority w:val="99"/>
    <w:rsid w:val="000F19BD"/>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0F19BD"/>
    <w:pPr>
      <w:tabs>
        <w:tab w:val="center" w:pos="4680"/>
        <w:tab w:val="right" w:pos="9360"/>
      </w:tabs>
    </w:pPr>
  </w:style>
  <w:style w:type="character" w:customStyle="1" w:styleId="FooterChar">
    <w:name w:val="Footer Char"/>
    <w:basedOn w:val="DefaultParagraphFont"/>
    <w:link w:val="Footer"/>
    <w:uiPriority w:val="99"/>
    <w:rsid w:val="000F19BD"/>
    <w:rPr>
      <w:rFonts w:ascii="Times New Roman" w:eastAsia="Times New Roman" w:hAnsi="Times New Roman" w:cs="Times New Roman"/>
      <w:sz w:val="24"/>
      <w:szCs w:val="24"/>
    </w:rPr>
  </w:style>
  <w:style w:type="paragraph" w:customStyle="1" w:styleId="TitleatTopofPage">
    <w:name w:val="Title at Top of Page"/>
    <w:basedOn w:val="Normal"/>
    <w:rsid w:val="00365972"/>
    <w:pPr>
      <w:spacing w:after="240"/>
      <w:jc w:val="center"/>
    </w:pPr>
    <w:rPr>
      <w:rFonts w:ascii="Calibri" w:hAnsi="Calibri" w:cs="Arial"/>
      <w:b/>
      <w:sz w:val="32"/>
      <w:szCs w:val="16"/>
    </w:rPr>
  </w:style>
  <w:style w:type="paragraph" w:styleId="BalloonText">
    <w:name w:val="Balloon Text"/>
    <w:basedOn w:val="Normal"/>
    <w:link w:val="BalloonTextChar"/>
    <w:uiPriority w:val="99"/>
    <w:semiHidden/>
    <w:unhideWhenUsed/>
    <w:rsid w:val="00CD5A0C"/>
    <w:rPr>
      <w:rFonts w:ascii="Tahoma" w:hAnsi="Tahoma" w:cs="Tahoma"/>
      <w:sz w:val="16"/>
      <w:szCs w:val="16"/>
    </w:rPr>
  </w:style>
  <w:style w:type="character" w:customStyle="1" w:styleId="BalloonTextChar">
    <w:name w:val="Balloon Text Char"/>
    <w:basedOn w:val="DefaultParagraphFont"/>
    <w:link w:val="BalloonText"/>
    <w:uiPriority w:val="99"/>
    <w:semiHidden/>
    <w:rsid w:val="00CD5A0C"/>
    <w:rPr>
      <w:rFonts w:ascii="Tahoma" w:eastAsia="Times New Roman" w:hAnsi="Tahoma" w:cs="Tahoma"/>
      <w:sz w:val="16"/>
      <w:szCs w:val="16"/>
    </w:rPr>
  </w:style>
  <w:style w:type="character" w:styleId="Hyperlink">
    <w:name w:val="Hyperlink"/>
    <w:basedOn w:val="DefaultParagraphFont"/>
    <w:uiPriority w:val="99"/>
    <w:unhideWhenUsed/>
    <w:rsid w:val="00215520"/>
    <w:rPr>
      <w:color w:val="0000FF" w:themeColor="hyperlink"/>
      <w:u w:val="single"/>
    </w:rPr>
  </w:style>
  <w:style w:type="character" w:styleId="UnresolvedMention">
    <w:name w:val="Unresolved Mention"/>
    <w:basedOn w:val="DefaultParagraphFont"/>
    <w:uiPriority w:val="99"/>
    <w:semiHidden/>
    <w:unhideWhenUsed/>
    <w:rsid w:val="00215520"/>
    <w:rPr>
      <w:color w:val="605E5C"/>
      <w:shd w:val="clear" w:color="auto" w:fill="E1DFDD"/>
    </w:rPr>
  </w:style>
  <w:style w:type="character" w:styleId="FollowedHyperlink">
    <w:name w:val="FollowedHyperlink"/>
    <w:basedOn w:val="DefaultParagraphFont"/>
    <w:uiPriority w:val="99"/>
    <w:semiHidden/>
    <w:unhideWhenUsed/>
    <w:rsid w:val="008422F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5324945">
      <w:bodyDiv w:val="1"/>
      <w:marLeft w:val="0"/>
      <w:marRight w:val="0"/>
      <w:marTop w:val="0"/>
      <w:marBottom w:val="0"/>
      <w:divBdr>
        <w:top w:val="none" w:sz="0" w:space="0" w:color="auto"/>
        <w:left w:val="none" w:sz="0" w:space="0" w:color="auto"/>
        <w:bottom w:val="none" w:sz="0" w:space="0" w:color="auto"/>
        <w:right w:val="none" w:sz="0" w:space="0" w:color="auto"/>
      </w:divBdr>
    </w:div>
    <w:div w:id="621226762">
      <w:bodyDiv w:val="1"/>
      <w:marLeft w:val="0"/>
      <w:marRight w:val="0"/>
      <w:marTop w:val="0"/>
      <w:marBottom w:val="0"/>
      <w:divBdr>
        <w:top w:val="none" w:sz="0" w:space="0" w:color="auto"/>
        <w:left w:val="none" w:sz="0" w:space="0" w:color="auto"/>
        <w:bottom w:val="none" w:sz="0" w:space="0" w:color="auto"/>
        <w:right w:val="none" w:sz="0" w:space="0" w:color="auto"/>
      </w:divBdr>
      <w:divsChild>
        <w:div w:id="1313558348">
          <w:marLeft w:val="0"/>
          <w:marRight w:val="0"/>
          <w:marTop w:val="0"/>
          <w:marBottom w:val="0"/>
          <w:divBdr>
            <w:top w:val="none" w:sz="0" w:space="0" w:color="auto"/>
            <w:left w:val="none" w:sz="0" w:space="0" w:color="auto"/>
            <w:bottom w:val="none" w:sz="0" w:space="0" w:color="auto"/>
            <w:right w:val="none" w:sz="0" w:space="0" w:color="auto"/>
          </w:divBdr>
        </w:div>
        <w:div w:id="718556097">
          <w:marLeft w:val="0"/>
          <w:marRight w:val="0"/>
          <w:marTop w:val="0"/>
          <w:marBottom w:val="0"/>
          <w:divBdr>
            <w:top w:val="none" w:sz="0" w:space="0" w:color="auto"/>
            <w:left w:val="none" w:sz="0" w:space="0" w:color="auto"/>
            <w:bottom w:val="none" w:sz="0" w:space="0" w:color="auto"/>
            <w:right w:val="none" w:sz="0" w:space="0" w:color="auto"/>
          </w:divBdr>
        </w:div>
        <w:div w:id="1179153954">
          <w:marLeft w:val="0"/>
          <w:marRight w:val="0"/>
          <w:marTop w:val="0"/>
          <w:marBottom w:val="0"/>
          <w:divBdr>
            <w:top w:val="none" w:sz="0" w:space="0" w:color="auto"/>
            <w:left w:val="none" w:sz="0" w:space="0" w:color="auto"/>
            <w:bottom w:val="none" w:sz="0" w:space="0" w:color="auto"/>
            <w:right w:val="none" w:sz="0" w:space="0" w:color="auto"/>
          </w:divBdr>
        </w:div>
      </w:divsChild>
    </w:div>
    <w:div w:id="1434394449">
      <w:bodyDiv w:val="1"/>
      <w:marLeft w:val="0"/>
      <w:marRight w:val="0"/>
      <w:marTop w:val="0"/>
      <w:marBottom w:val="0"/>
      <w:divBdr>
        <w:top w:val="none" w:sz="0" w:space="0" w:color="auto"/>
        <w:left w:val="none" w:sz="0" w:space="0" w:color="auto"/>
        <w:bottom w:val="none" w:sz="0" w:space="0" w:color="auto"/>
        <w:right w:val="none" w:sz="0" w:space="0" w:color="auto"/>
      </w:divBdr>
    </w:div>
    <w:div w:id="1728409089">
      <w:bodyDiv w:val="1"/>
      <w:marLeft w:val="0"/>
      <w:marRight w:val="0"/>
      <w:marTop w:val="0"/>
      <w:marBottom w:val="0"/>
      <w:divBdr>
        <w:top w:val="none" w:sz="0" w:space="0" w:color="auto"/>
        <w:left w:val="none" w:sz="0" w:space="0" w:color="auto"/>
        <w:bottom w:val="none" w:sz="0" w:space="0" w:color="auto"/>
        <w:right w:val="none" w:sz="0" w:space="0" w:color="auto"/>
      </w:divBdr>
      <w:divsChild>
        <w:div w:id="800462128">
          <w:marLeft w:val="0"/>
          <w:marRight w:val="0"/>
          <w:marTop w:val="0"/>
          <w:marBottom w:val="0"/>
          <w:divBdr>
            <w:top w:val="none" w:sz="0" w:space="0" w:color="auto"/>
            <w:left w:val="none" w:sz="0" w:space="0" w:color="auto"/>
            <w:bottom w:val="none" w:sz="0" w:space="0" w:color="auto"/>
            <w:right w:val="none" w:sz="0" w:space="0" w:color="auto"/>
          </w:divBdr>
        </w:div>
        <w:div w:id="1653683062">
          <w:marLeft w:val="0"/>
          <w:marRight w:val="0"/>
          <w:marTop w:val="0"/>
          <w:marBottom w:val="0"/>
          <w:divBdr>
            <w:top w:val="none" w:sz="0" w:space="0" w:color="auto"/>
            <w:left w:val="none" w:sz="0" w:space="0" w:color="auto"/>
            <w:bottom w:val="none" w:sz="0" w:space="0" w:color="auto"/>
            <w:right w:val="none" w:sz="0" w:space="0" w:color="auto"/>
          </w:divBdr>
        </w:div>
        <w:div w:id="108298969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kcha.org/documents/135.pdf"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huduser.gov/portal/datasets/fmr.html"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seattlehousing.org/housing/housing-choice-vouchers/renting-voucher/utility-estimates"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https://www.kcha.org/landlords/rent-utilities"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seattlehousing.org/housing/housing-choice-vouchers/renting-voucher/voucher-payment-standard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AD0AE924083E342B8EE4C0EFB9F112D" ma:contentTypeVersion="19" ma:contentTypeDescription="Create a new document." ma:contentTypeScope="" ma:versionID="ebde5054a75d8927616ff2efbbe6c873">
  <xsd:schema xmlns:xsd="http://www.w3.org/2001/XMLSchema" xmlns:xs="http://www.w3.org/2001/XMLSchema" xmlns:p="http://schemas.microsoft.com/office/2006/metadata/properties" xmlns:ns2="a8e83a8b-505c-42e0-aee7-e7ad248cdf1f" xmlns:ns3="f729d128-c0a9-4c66-a097-4ca6ee6763bd" xmlns:ns5="2beaef9f-cf1f-479f-a374-c737fe2c05cb" targetNamespace="http://schemas.microsoft.com/office/2006/metadata/properties" ma:root="true" ma:fieldsID="5c035ca612233ab9741f7279b08f3e99" ns2:_="" ns3:_="" ns5:_="">
    <xsd:import namespace="a8e83a8b-505c-42e0-aee7-e7ad248cdf1f"/>
    <xsd:import namespace="f729d128-c0a9-4c66-a097-4ca6ee6763bd"/>
    <xsd:import namespace="2beaef9f-cf1f-479f-a374-c737fe2c05cb"/>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lcf76f155ced4ddcb4097134ff3c332f" minOccurs="0"/>
                <xsd:element ref="ns5:TaxCatchAll"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e83a8b-505c-42e0-aee7-e7ad248cdf1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description=""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487192d8-99aa-4f2d-82ad-d3af49b789fe"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729d128-c0a9-4c66-a097-4ca6ee6763b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beaef9f-cf1f-479f-a374-c737fe2c05cb"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d03dd37f-605b-42e1-9a41-c300127b6c21}" ma:internalName="TaxCatchAll" ma:showField="CatchAllData" ma:web="f729d128-c0a9-4c66-a097-4ca6ee6763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ma:index="18" ma:displayName="Category"/>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8e83a8b-505c-42e0-aee7-e7ad248cdf1f">
      <Terms xmlns="http://schemas.microsoft.com/office/infopath/2007/PartnerControls"/>
    </lcf76f155ced4ddcb4097134ff3c332f>
    <TaxCatchAll xmlns="2beaef9f-cf1f-479f-a374-c737fe2c05cb" xsi:nil="true"/>
  </documentManagement>
</p:properties>
</file>

<file path=customXml/itemProps1.xml><?xml version="1.0" encoding="utf-8"?>
<ds:datastoreItem xmlns:ds="http://schemas.openxmlformats.org/officeDocument/2006/customXml" ds:itemID="{B7673DBA-F44F-41C0-818F-F37B422132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e83a8b-505c-42e0-aee7-e7ad248cdf1f"/>
    <ds:schemaRef ds:uri="f729d128-c0a9-4c66-a097-4ca6ee6763bd"/>
    <ds:schemaRef ds:uri="2beaef9f-cf1f-479f-a374-c737fe2c05c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5281055-9170-41BA-9886-BF142ABEB94A}">
  <ds:schemaRefs>
    <ds:schemaRef ds:uri="http://schemas.microsoft.com/sharepoint/v3/contenttype/forms"/>
  </ds:schemaRefs>
</ds:datastoreItem>
</file>

<file path=customXml/itemProps3.xml><?xml version="1.0" encoding="utf-8"?>
<ds:datastoreItem xmlns:ds="http://schemas.openxmlformats.org/officeDocument/2006/customXml" ds:itemID="{46589BBE-A831-489C-8A80-9AF91C6446A4}">
  <ds:schemaRefs>
    <ds:schemaRef ds:uri="http://schemas.microsoft.com/office/2006/metadata/properties"/>
    <ds:schemaRef ds:uri="http://schemas.microsoft.com/office/infopath/2007/PartnerControls"/>
    <ds:schemaRef ds:uri="a8e83a8b-505c-42e0-aee7-e7ad248cdf1f"/>
    <ds:schemaRef ds:uri="2beaef9f-cf1f-479f-a374-c737fe2c05cb"/>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2</Pages>
  <Words>495</Words>
  <Characters>2824</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King County - DCHS</Company>
  <LinksUpToDate>false</LinksUpToDate>
  <CharactersWithSpaces>3313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Greenway, Linda</dc:creator>
  <cp:lastModifiedBy>Giron, Rae Anne</cp:lastModifiedBy>
  <cp:revision>26</cp:revision>
  <cp:lastPrinted>2016-02-04T23:42:00Z</cp:lastPrinted>
  <dcterms:created xsi:type="dcterms:W3CDTF">2016-01-19T23:52:00Z</dcterms:created>
  <dcterms:modified xsi:type="dcterms:W3CDTF">2025-02-13T18:25:00Z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0x010100BAD0AE924083E342B8EE4C0EFB9F112D</vt:lpwstr>
  </property>
  <property fmtid="{D5CDD505-2E9C-101B-9397-08002B2CF9AE}" pid="3" name="MediaServiceImageTags">
    <vt:lpwstr/>
  </property>
</Properties>
</file>